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821872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719"/>
        <w:gridCol w:w="2210"/>
        <w:gridCol w:w="1322"/>
        <w:gridCol w:w="1608"/>
        <w:gridCol w:w="167"/>
        <w:gridCol w:w="1377"/>
        <w:gridCol w:w="251"/>
        <w:gridCol w:w="1088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C215ED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C215ED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والأساليب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إجباري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التفاعل الصفي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D4A80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(</w:t>
            </w:r>
            <w:r w:rsidRPr="002D4A80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0</w:t>
            </w:r>
            <w:r w:rsidRPr="002D4A80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801</w:t>
            </w:r>
            <w:r w:rsidRPr="002D4A80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302</w:t>
            </w:r>
            <w:r w:rsidRPr="002D4A80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)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(3) ساعات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3C1135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C113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أ.د. احمد الطويسي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a-towisi@mutah.edu.jo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12:30-2:00 (ن، ر)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قاعة (107)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155814" w:rsidP="00155814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  <w:r w:rsidR="002D4A80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2023-2024م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2024</w:t>
            </w:r>
          </w:p>
        </w:tc>
      </w:tr>
    </w:tbl>
    <w:p w:rsidR="00D549D0" w:rsidRPr="00263393" w:rsidRDefault="00D549D0" w:rsidP="00821872">
      <w:pPr>
        <w:bidi/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2D4A80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تتناول هذه المادة موضوعات في نظرية التفاعل الصفي واستراتيجياتها. 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  <w:lang w:bidi="ar-JO"/>
              </w:rPr>
              <w:t xml:space="preserve">مفهوم التفاعل وعلاقته بالإدارة الصفية. عناصر الإدارة الصفية ومبادئها واستراتيجياتها وأدوات التفاعل الصفي اللفظي وغير اللفظي. 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وكيف للتفاعل الصفي وأدواته أن يُساعد المعلم على تطوير </w:t>
            </w:r>
            <w:proofErr w:type="spellStart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اداءاته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التدريسية من خلال العناية التامة بالظروف الصفية المناسبة بشقيها التعليمي </w:t>
            </w:r>
            <w:proofErr w:type="spellStart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والتعلمي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.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21872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2D4A80" w:rsidRPr="002D4A80" w:rsidRDefault="002D4A80" w:rsidP="00821872">
            <w:pPr>
              <w:numPr>
                <w:ilvl w:val="0"/>
                <w:numId w:val="1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  <w:lang w:bidi="ar-JO"/>
              </w:rPr>
              <w:t xml:space="preserve">أن يتعرف الطالب 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مبادئ الإدارة الصفية: ماهيتها وعناصرها ومهامها، بالإضافة إلى الإدارة الصفية عبر التاريخ.</w:t>
            </w:r>
          </w:p>
          <w:p w:rsidR="002D4A80" w:rsidRPr="002D4A80" w:rsidRDefault="002D4A80" w:rsidP="00821872">
            <w:pPr>
              <w:numPr>
                <w:ilvl w:val="0"/>
                <w:numId w:val="1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أن يتعرف الطالب العوامل المؤثرة في الإدارة الصفية والنظام الصفي: الخاصة منها بالمعلم والخاصة بالبيئة المحلية.، والإجراءات العملية في توجيه الإدارة الصفية.</w:t>
            </w:r>
          </w:p>
          <w:p w:rsidR="002D4A80" w:rsidRPr="002D4A80" w:rsidRDefault="002D4A80" w:rsidP="00821872">
            <w:pPr>
              <w:numPr>
                <w:ilvl w:val="0"/>
                <w:numId w:val="1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أن يتعرف الطالب بعض استراتيجيات الإدارة الصفية، وبخاصة: استراتيجية الجو الاجتماعي الانفعالي، واستراتيجية مدخل عمليات الجماعة، واستراتيجية تعديل السلوك.</w:t>
            </w:r>
          </w:p>
          <w:p w:rsidR="002D4A80" w:rsidRPr="002D4A80" w:rsidRDefault="002D4A80" w:rsidP="00821872">
            <w:pPr>
              <w:numPr>
                <w:ilvl w:val="0"/>
                <w:numId w:val="1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أن يتعرف الطالب مشكلات إدارة الصف، وماهية الأساليب المناسبة لعلاج هذه المشكلات.</w:t>
            </w:r>
          </w:p>
          <w:p w:rsidR="008C0140" w:rsidRPr="002D4A80" w:rsidRDefault="002D4A80" w:rsidP="00821872">
            <w:pPr>
              <w:numPr>
                <w:ilvl w:val="0"/>
                <w:numId w:val="1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أن يتعرف الطالب بعض أدوات ملاحظة التدريس بشكل عام، مراحل تطورها في التربية والتدريس، أنواعها، تصنيفاتها، استعمالاتها التربوية، وفوائدها. وبخاصة أداتي </w:t>
            </w:r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أداة </w:t>
            </w:r>
            <w:proofErr w:type="spellStart"/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فلاندرز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لتحليل التفاعل </w:t>
            </w:r>
            <w:proofErr w:type="spellStart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اللفظي،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</w:t>
            </w:r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أداة </w:t>
            </w:r>
            <w:proofErr w:type="spellStart"/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غالاوي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لتحليل التفاعل غير اللفظي.</w:t>
            </w:r>
          </w:p>
        </w:tc>
      </w:tr>
    </w:tbl>
    <w:p w:rsidR="00263393" w:rsidRDefault="00263393" w:rsidP="00821872">
      <w:pPr>
        <w:bidi/>
        <w:rPr>
          <w:sz w:val="24"/>
          <w:szCs w:val="24"/>
        </w:rPr>
      </w:pPr>
    </w:p>
    <w:p w:rsidR="009545CF" w:rsidRDefault="009545CF" w:rsidP="00821872">
      <w:pPr>
        <w:bidi/>
        <w:rPr>
          <w:sz w:val="24"/>
          <w:szCs w:val="24"/>
        </w:rPr>
      </w:pPr>
    </w:p>
    <w:p w:rsidR="009545CF" w:rsidRPr="00263393" w:rsidRDefault="009545CF" w:rsidP="00821872">
      <w:pPr>
        <w:bidi/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D4A80" w:rsidRPr="00AC7C78" w:rsidRDefault="00263393" w:rsidP="00821872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15231E" w:rsidRPr="002D4A80" w:rsidRDefault="0015231E" w:rsidP="00821872">
            <w:pPr>
              <w:tabs>
                <w:tab w:val="left" w:pos="-241"/>
              </w:tabs>
              <w:bidi/>
              <w:ind w:left="360" w:right="-180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2D4A8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يتوقع من المتعلم بعد إنهاء هذه المادة أن يكون قادرا على:</w:t>
            </w:r>
          </w:p>
          <w:p w:rsidR="0015231E" w:rsidRPr="002D4A80" w:rsidRDefault="0015231E" w:rsidP="00821872">
            <w:pPr>
              <w:numPr>
                <w:ilvl w:val="0"/>
                <w:numId w:val="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  <w:lang w:bidi="ar-JO"/>
              </w:rPr>
              <w:lastRenderedPageBreak/>
              <w:t xml:space="preserve">تحديد 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مبادئ الإدارة الصفية: ماهيتها وعناصرها ومهامها.</w:t>
            </w:r>
          </w:p>
          <w:p w:rsidR="0015231E" w:rsidRPr="002D4A80" w:rsidRDefault="0015231E" w:rsidP="00821872">
            <w:pPr>
              <w:numPr>
                <w:ilvl w:val="0"/>
                <w:numId w:val="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تحديد العوامل المؤثرة في الإدارة الصفية والنظام الصفي: الخاصة منها بالمعلم والخاصة بالبيئة المحلية.</w:t>
            </w:r>
          </w:p>
          <w:p w:rsidR="0015231E" w:rsidRPr="002D4A80" w:rsidRDefault="0015231E" w:rsidP="00821872">
            <w:pPr>
              <w:numPr>
                <w:ilvl w:val="0"/>
                <w:numId w:val="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تمييز بعض استراتيجيات الإدارة الصفية الفاعلة (التقليدية منها والحديثة). </w:t>
            </w:r>
          </w:p>
          <w:p w:rsidR="0015231E" w:rsidRPr="002D4A80" w:rsidRDefault="0015231E" w:rsidP="00821872">
            <w:pPr>
              <w:numPr>
                <w:ilvl w:val="0"/>
                <w:numId w:val="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تمييز بعض مشكلات إدارة الصف، وتحديد طبيعة الأساليب المناسبة لعلاج هذه المشكلات.</w:t>
            </w:r>
          </w:p>
          <w:p w:rsidR="00263393" w:rsidRPr="0015231E" w:rsidRDefault="0015231E" w:rsidP="00821872">
            <w:pPr>
              <w:numPr>
                <w:ilvl w:val="0"/>
                <w:numId w:val="1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التعامل مع بعض أدوات ملاحظة التدريس. وبخاصة أداتي </w:t>
            </w:r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أداة </w:t>
            </w:r>
            <w:proofErr w:type="spellStart"/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فلاندرز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لتحليل التفاعل </w:t>
            </w:r>
            <w:proofErr w:type="spellStart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اللفظي،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</w:t>
            </w:r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أداة </w:t>
            </w:r>
            <w:proofErr w:type="spellStart"/>
            <w:r w:rsidRPr="002D4A8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غالاوي</w:t>
            </w:r>
            <w:proofErr w:type="spellEnd"/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لتحليل التفاعل غير اللفظي.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821872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15231E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اكساب المتعلم مهارة التمييز بين مشكلات الإدارة الصفية: المشكلات الإدارية والمشكلات التعليمية، وكذلك التمييز بين المشكلات الفردية والمشكلات الجماعية.</w:t>
            </w:r>
          </w:p>
          <w:p w:rsidR="00263393" w:rsidRPr="00263393" w:rsidRDefault="00263393" w:rsidP="00821872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15231E">
              <w:rPr>
                <w:rFonts w:ascii="Times New Roman" w:eastAsia="Times New Roman" w:hAnsi="Times New Roman" w:cs="Times New Roman" w:hint="cs"/>
                <w:rtl/>
                <w:lang w:bidi="ar-JO"/>
              </w:rPr>
              <w:t>إكساب المتعلم مهارة استخدام أدوات ملاحظة التدريس، وكيفية رصد التفاعل الصفي وتحليله وذلك من خلال تطبيقات أثناء الموقف التعليمي.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15231E" w:rsidP="0082187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تنمية مهارة التفاعل الصفي لدى المتعلمين من خلال التركيز على النقاش بين المُدرس والمتعلمين وبين المتعلمين أنفسهم.</w:t>
            </w:r>
          </w:p>
          <w:p w:rsidR="00263393" w:rsidRDefault="0015231E" w:rsidP="0082187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توظيف بعض الحالات الإدارية المكتوبة لتدريب الطلبة على كيفية التمييز بين مشكلات الإدارة الصفية.</w:t>
            </w:r>
          </w:p>
          <w:p w:rsidR="0015231E" w:rsidRPr="00263393" w:rsidRDefault="0015231E" w:rsidP="0082187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تمكين المتعلمين من التعامل مع أدوات ملاحظة التدريس مثل أداة </w:t>
            </w:r>
            <w:proofErr w:type="spellStart"/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فلاندرز</w:t>
            </w:r>
            <w:proofErr w:type="spellEnd"/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AC7C78" w:rsidP="00821872">
            <w:pPr>
              <w:tabs>
                <w:tab w:val="left" w:pos="-241"/>
              </w:tabs>
              <w:bidi/>
              <w:spacing w:line="204" w:lineRule="auto"/>
              <w:ind w:left="42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D4A8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المحاضرة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المناقشة- </w:t>
            </w:r>
            <w:r w:rsidRPr="002D4A8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المجموعات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التعلم الفردي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82187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AC7C78" w:rsidRDefault="00AC7C78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AC7C78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المناقشة- الاختبارات القصيرة- الاختبارات الشهرية والفصلية</w:t>
            </w: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- دراسة الحالات الإدارية وتحليلها أثناء الموقف التعليمي.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851"/>
        <w:gridCol w:w="3118"/>
        <w:gridCol w:w="1406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4A1455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82187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4A145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2B25C8" w:rsidP="0082187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C7C78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A1455" w:rsidRPr="004A1455" w:rsidRDefault="00FF1819" w:rsidP="00821872">
            <w:pPr>
              <w:tabs>
                <w:tab w:val="right" w:pos="168"/>
              </w:tabs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A145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AC7C78" w:rsidRPr="004A1455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Pr="004A145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يكون المتعلم قادرا على</w:t>
            </w:r>
          </w:p>
          <w:p w:rsidR="005E5D40" w:rsidRPr="004A1455" w:rsidRDefault="00FF1819" w:rsidP="00821872">
            <w:pPr>
              <w:tabs>
                <w:tab w:val="right" w:pos="168"/>
              </w:tabs>
              <w:bidi/>
              <w:jc w:val="both"/>
              <w:rPr>
                <w:rFonts w:cstheme="minorHAnsi"/>
                <w:sz w:val="24"/>
                <w:szCs w:val="24"/>
              </w:rPr>
            </w:pPr>
            <w:r w:rsidRPr="004A1455">
              <w:rPr>
                <w:rFonts w:cstheme="minorHAnsi"/>
                <w:sz w:val="24"/>
                <w:szCs w:val="24"/>
                <w:rtl/>
              </w:rPr>
              <w:t xml:space="preserve"> تحديد بعض </w:t>
            </w:r>
            <w:r w:rsidR="00AC7C78" w:rsidRPr="004A1455">
              <w:rPr>
                <w:rFonts w:cstheme="minorHAnsi"/>
                <w:sz w:val="24"/>
                <w:szCs w:val="24"/>
                <w:rtl/>
              </w:rPr>
              <w:t>المبادئ العامة في الإدارة الصفية</w:t>
            </w:r>
            <w:r w:rsidR="005E5D40" w:rsidRPr="004A1455">
              <w:rPr>
                <w:rFonts w:cstheme="minorHAnsi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:rsidR="00AC7C78" w:rsidRPr="00AC7C78" w:rsidRDefault="00AC7C78" w:rsidP="00821872">
            <w:pPr>
              <w:bidi/>
              <w:ind w:left="315" w:hanging="315"/>
              <w:jc w:val="lowKashida"/>
              <w:rPr>
                <w:rFonts w:ascii="Times New Roman" w:eastAsia="Times New Roman" w:hAnsi="Times New Roman" w:cs="PT Bold Heading"/>
              </w:rPr>
            </w:pPr>
            <w:r w:rsidRPr="00AC7C78">
              <w:rPr>
                <w:rFonts w:ascii="Times New Roman" w:eastAsia="Times New Roman" w:hAnsi="Times New Roman" w:cs="PT Bold Heading"/>
                <w:b/>
                <w:bCs/>
                <w:rtl/>
              </w:rPr>
              <w:t>المحور الأول</w:t>
            </w:r>
            <w:r w:rsidRPr="00AC7C78">
              <w:rPr>
                <w:rFonts w:ascii="Times New Roman" w:eastAsia="Times New Roman" w:hAnsi="Times New Roman" w:cs="PT Bold Heading" w:hint="cs"/>
                <w:b/>
                <w:bCs/>
                <w:rtl/>
              </w:rPr>
              <w:t xml:space="preserve">، </w:t>
            </w:r>
            <w:r w:rsidRPr="00AC7C78">
              <w:rPr>
                <w:rFonts w:ascii="Times New Roman" w:eastAsia="Times New Roman" w:hAnsi="Times New Roman" w:cs="PT Bold Heading"/>
                <w:rtl/>
              </w:rPr>
              <w:t>و</w:t>
            </w:r>
            <w:r w:rsidRPr="00AC7C78">
              <w:rPr>
                <w:rFonts w:ascii="Times New Roman" w:eastAsia="Times New Roman" w:hAnsi="Times New Roman" w:cs="PT Bold Heading" w:hint="cs"/>
                <w:rtl/>
              </w:rPr>
              <w:t>يتناول المواضيع الآتية:</w:t>
            </w:r>
            <w:r w:rsidRPr="00AC7C78">
              <w:rPr>
                <w:rFonts w:ascii="Times New Roman" w:eastAsia="Times New Roman" w:hAnsi="Times New Roman" w:cs="PT Bold Heading"/>
                <w:rtl/>
              </w:rPr>
              <w:t xml:space="preserve"> </w:t>
            </w:r>
          </w:p>
          <w:p w:rsidR="00AC7C78" w:rsidRDefault="00AC7C78" w:rsidP="00821872">
            <w:pPr>
              <w:numPr>
                <w:ilvl w:val="0"/>
                <w:numId w:val="14"/>
              </w:numPr>
              <w:bidi/>
              <w:ind w:left="315" w:hanging="315"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ماهية الإدارة الصفية </w:t>
            </w:r>
          </w:p>
          <w:p w:rsidR="00FF1819" w:rsidRDefault="00AC7C78" w:rsidP="00821872">
            <w:pPr>
              <w:numPr>
                <w:ilvl w:val="0"/>
                <w:numId w:val="14"/>
              </w:numPr>
              <w:bidi/>
              <w:ind w:left="315" w:hanging="315"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عناصر</w:t>
            </w: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 الإدارة الصفية </w:t>
            </w:r>
            <w:r w:rsidR="00FF1819">
              <w:rPr>
                <w:rFonts w:ascii="Calibri" w:eastAsia="Times New Roman" w:hAnsi="Calibri" w:cs="Calibri"/>
                <w:sz w:val="28"/>
                <w:szCs w:val="28"/>
                <w:rtl/>
              </w:rPr>
              <w:t>ومهامها</w:t>
            </w:r>
          </w:p>
          <w:p w:rsidR="00AC7C78" w:rsidRPr="002D4A80" w:rsidRDefault="00AC7C78" w:rsidP="00821872">
            <w:pPr>
              <w:numPr>
                <w:ilvl w:val="0"/>
                <w:numId w:val="14"/>
              </w:numPr>
              <w:bidi/>
              <w:ind w:left="315" w:hanging="315"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الإدارة الصفية عبر التاريخ.</w:t>
            </w:r>
          </w:p>
          <w:p w:rsidR="00C26319" w:rsidRPr="0026349C" w:rsidRDefault="00C26319" w:rsidP="00821872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C26319" w:rsidRPr="0026349C" w:rsidRDefault="004A1455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BE3EC5" w:rsidP="00BE3EC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BE3EC5" w:rsidRDefault="00BE3EC5" w:rsidP="00BE3EC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BE3EC5" w:rsidRPr="0026349C" w:rsidRDefault="00BE3EC5" w:rsidP="00BE3EC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</w:tc>
      </w:tr>
      <w:tr w:rsidR="00C26319" w:rsidRPr="00910CF9" w:rsidTr="004A145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B25C8" w:rsidRDefault="00C26319" w:rsidP="00821872">
            <w:pPr>
              <w:pStyle w:val="a4"/>
              <w:numPr>
                <w:ilvl w:val="0"/>
                <w:numId w:val="29"/>
              </w:num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5E5D40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A1455" w:rsidRPr="004A1455" w:rsidRDefault="00FF1819" w:rsidP="00821872">
            <w:pPr>
              <w:bidi/>
              <w:ind w:left="27"/>
              <w:jc w:val="lowKashida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أن يكون المتعلم قادرا على</w:t>
            </w:r>
          </w:p>
          <w:p w:rsidR="00C26319" w:rsidRPr="004A1455" w:rsidRDefault="00FF1819" w:rsidP="00821872">
            <w:pPr>
              <w:pStyle w:val="a4"/>
              <w:numPr>
                <w:ilvl w:val="0"/>
                <w:numId w:val="30"/>
              </w:numPr>
              <w:bidi/>
              <w:ind w:left="168" w:firstLine="0"/>
              <w:jc w:val="lowKashida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>تحديد العوامل المؤثرة في الإدارة الصفية والنظام الصفي.</w:t>
            </w:r>
          </w:p>
        </w:tc>
        <w:tc>
          <w:tcPr>
            <w:tcW w:w="3118" w:type="dxa"/>
            <w:shd w:val="clear" w:color="auto" w:fill="auto"/>
          </w:tcPr>
          <w:p w:rsidR="00C26319" w:rsidRPr="00CD4068" w:rsidRDefault="00FF1819" w:rsidP="00821872">
            <w:pPr>
              <w:pStyle w:val="a4"/>
              <w:numPr>
                <w:ilvl w:val="0"/>
                <w:numId w:val="26"/>
              </w:numPr>
              <w:bidi/>
              <w:rPr>
                <w:rFonts w:asciiTheme="majorBidi" w:hAnsiTheme="majorBidi" w:cstheme="majorBidi"/>
              </w:rPr>
            </w:pPr>
            <w:r w:rsidRPr="00CD4068">
              <w:rPr>
                <w:rFonts w:ascii="Calibri" w:hAnsi="Calibri" w:cs="Calibri"/>
                <w:sz w:val="28"/>
                <w:szCs w:val="28"/>
                <w:rtl/>
              </w:rPr>
              <w:t>العوامل المؤثرة في الإدارة الصفية والنظام الصفي</w:t>
            </w:r>
            <w:r w:rsidRPr="00CD4068">
              <w:rPr>
                <w:rFonts w:ascii="Calibri" w:hAnsi="Calibri" w:cs="Calibri" w:hint="cs"/>
                <w:sz w:val="28"/>
                <w:szCs w:val="28"/>
                <w:rtl/>
              </w:rPr>
              <w:t xml:space="preserve"> (الخاصة منها بالمعلم والخاصة منها بالبيئة المحيطة).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26319" w:rsidRPr="0026349C" w:rsidRDefault="004A1455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BE3EC5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BE3EC5" w:rsidRPr="0026349C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</w:tc>
      </w:tr>
      <w:tr w:rsidR="00C26319" w:rsidRPr="00910CF9" w:rsidTr="004A145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5E5D40" w:rsidRDefault="005E5D40" w:rsidP="00821872">
            <w:pPr>
              <w:bidi/>
              <w:ind w:left="360" w:hanging="32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2B25C8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A1455" w:rsidRPr="004A1455" w:rsidRDefault="00FF1819" w:rsidP="00821872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A1455">
              <w:rPr>
                <w:rFonts w:cstheme="minorHAnsi"/>
                <w:b/>
                <w:bCs/>
                <w:sz w:val="24"/>
                <w:szCs w:val="24"/>
                <w:rtl/>
              </w:rPr>
              <w:t>أن</w:t>
            </w:r>
            <w:r w:rsidR="005E5D40" w:rsidRPr="004A145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يكون المتعلم قادراً على </w:t>
            </w:r>
          </w:p>
          <w:p w:rsidR="00C26319" w:rsidRPr="004A1455" w:rsidRDefault="005E5D40" w:rsidP="00821872">
            <w:pPr>
              <w:pStyle w:val="a4"/>
              <w:numPr>
                <w:ilvl w:val="0"/>
                <w:numId w:val="30"/>
              </w:numPr>
              <w:bidi/>
              <w:ind w:left="168" w:hanging="141"/>
              <w:jc w:val="both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 xml:space="preserve">تحديد بعض </w:t>
            </w:r>
            <w:r w:rsidR="00FF1819" w:rsidRPr="004A1455">
              <w:rPr>
                <w:rFonts w:asciiTheme="minorHAnsi" w:hAnsiTheme="minorHAnsi" w:cstheme="minorHAnsi"/>
                <w:rtl/>
              </w:rPr>
              <w:t>الإجراءات العملية التي تسهم في</w:t>
            </w:r>
            <w:r w:rsidRPr="004A1455">
              <w:rPr>
                <w:rFonts w:asciiTheme="minorHAnsi" w:hAnsiTheme="minorHAnsi" w:cstheme="minorHAnsi"/>
                <w:rtl/>
              </w:rPr>
              <w:t xml:space="preserve"> إدارة </w:t>
            </w:r>
            <w:r w:rsidRPr="004A1455">
              <w:rPr>
                <w:rFonts w:asciiTheme="minorHAnsi" w:hAnsiTheme="minorHAnsi" w:cstheme="minorHAnsi"/>
                <w:rtl/>
              </w:rPr>
              <w:lastRenderedPageBreak/>
              <w:t>صفية فاعلة ومتفاعلة.</w:t>
            </w:r>
          </w:p>
        </w:tc>
        <w:tc>
          <w:tcPr>
            <w:tcW w:w="3118" w:type="dxa"/>
            <w:shd w:val="clear" w:color="auto" w:fill="auto"/>
          </w:tcPr>
          <w:p w:rsidR="00C26319" w:rsidRPr="00CD4068" w:rsidRDefault="005E5D40" w:rsidP="00821872">
            <w:pPr>
              <w:pStyle w:val="a4"/>
              <w:numPr>
                <w:ilvl w:val="0"/>
                <w:numId w:val="26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CD4068"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 xml:space="preserve">إجراءات عملية لتوجيه الإدارة الصفية: من خلال المعلم خصائصه وواجباته، تحضير التدريس الصفي، </w:t>
            </w:r>
            <w:r w:rsidRPr="00CD4068"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تحضير الغرفة الدراسية، تأسيس أحكام عامة لنظام الفصل، التنظيم المناسب للتلاميذ في الفصل، السلوك الجيد وتعزيزه، والسجلات الصفية والتعامل معها.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26319" w:rsidRPr="0026349C" w:rsidRDefault="004A1455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المحاضرة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EC5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C26319" w:rsidRPr="0026349C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</w:tc>
      </w:tr>
      <w:tr w:rsidR="005E5D40" w:rsidRPr="00910CF9" w:rsidTr="004A145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5E5D40" w:rsidRPr="0026349C" w:rsidRDefault="005E5D40" w:rsidP="0082187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5-</w:t>
            </w:r>
            <w:r w:rsidR="00CD4068"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E5D40" w:rsidRPr="0026349C" w:rsidRDefault="00CD4068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A1455" w:rsidRPr="004A1455" w:rsidRDefault="005E5D40" w:rsidP="00821872">
            <w:pPr>
              <w:pStyle w:val="a4"/>
              <w:bidi/>
              <w:ind w:left="168"/>
              <w:jc w:val="both"/>
              <w:rPr>
                <w:rFonts w:asciiTheme="minorHAnsi" w:hAnsiTheme="minorHAnsi" w:cstheme="minorHAnsi"/>
                <w:rtl/>
              </w:rPr>
            </w:pPr>
            <w:r w:rsidRPr="004A1455">
              <w:rPr>
                <w:rFonts w:asciiTheme="minorHAnsi" w:hAnsiTheme="minorHAnsi" w:cstheme="minorHAnsi"/>
                <w:b/>
                <w:bCs/>
                <w:rtl/>
              </w:rPr>
              <w:t>أن يكون المتعلم قادراً على</w:t>
            </w:r>
            <w:r w:rsidRPr="004A1455">
              <w:rPr>
                <w:rFonts w:asciiTheme="minorHAnsi" w:hAnsiTheme="minorHAnsi" w:cstheme="minorHAnsi"/>
                <w:rtl/>
              </w:rPr>
              <w:t xml:space="preserve"> </w:t>
            </w:r>
          </w:p>
          <w:p w:rsidR="005E5D40" w:rsidRPr="004A1455" w:rsidRDefault="005E5D40" w:rsidP="00821872">
            <w:pPr>
              <w:pStyle w:val="a4"/>
              <w:numPr>
                <w:ilvl w:val="0"/>
                <w:numId w:val="30"/>
              </w:numPr>
              <w:bidi/>
              <w:ind w:left="168" w:hanging="141"/>
              <w:jc w:val="both"/>
              <w:rPr>
                <w:rFonts w:asciiTheme="minorHAnsi" w:hAnsiTheme="minorHAnsi" w:cstheme="minorHAnsi"/>
                <w:rtl/>
              </w:rPr>
            </w:pPr>
            <w:r w:rsidRPr="004A1455">
              <w:rPr>
                <w:rFonts w:asciiTheme="minorHAnsi" w:hAnsiTheme="minorHAnsi" w:cstheme="minorHAnsi"/>
                <w:rtl/>
              </w:rPr>
              <w:t xml:space="preserve">التمييز بين استراتيجيات الإدارة الصفية التقليدية والاستراتيجيات الحديثة. </w:t>
            </w:r>
          </w:p>
          <w:p w:rsidR="005E5D40" w:rsidRPr="004A1455" w:rsidRDefault="005E5D40" w:rsidP="00821872">
            <w:pPr>
              <w:pStyle w:val="a4"/>
              <w:numPr>
                <w:ilvl w:val="0"/>
                <w:numId w:val="25"/>
              </w:numPr>
              <w:bidi/>
              <w:ind w:left="310" w:hanging="310"/>
              <w:jc w:val="both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 xml:space="preserve">أن يكون المتعلم قدراً على تحديد بعض </w:t>
            </w:r>
            <w:r w:rsidR="00CD4068" w:rsidRPr="004A1455">
              <w:rPr>
                <w:rFonts w:asciiTheme="minorHAnsi" w:hAnsiTheme="minorHAnsi" w:cstheme="minorHAnsi"/>
                <w:rtl/>
              </w:rPr>
              <w:t>التقنيات التي يمكن توظيفها في تنفيذ الاستراتيجيات الحديثة.</w:t>
            </w:r>
          </w:p>
        </w:tc>
        <w:tc>
          <w:tcPr>
            <w:tcW w:w="3118" w:type="dxa"/>
            <w:shd w:val="clear" w:color="auto" w:fill="auto"/>
          </w:tcPr>
          <w:p w:rsidR="005E5D40" w:rsidRPr="002D4A80" w:rsidRDefault="005E5D40" w:rsidP="00821872">
            <w:pPr>
              <w:bidi/>
              <w:ind w:left="301" w:hanging="301"/>
              <w:jc w:val="both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 w:rsidRPr="002D4A80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>المحور الثاني</w:t>
            </w:r>
            <w:r w:rsidRPr="002D4A80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،</w:t>
            </w:r>
            <w:r w:rsidRPr="002D4A80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  <w:r w:rsidRPr="002D4A80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ab/>
              <w:t>و</w:t>
            </w:r>
            <w:r w:rsidRPr="002D4A80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يتناول:</w:t>
            </w:r>
          </w:p>
          <w:p w:rsidR="005E5D40" w:rsidRPr="002D4A80" w:rsidRDefault="005E5D40" w:rsidP="00821872">
            <w:pPr>
              <w:numPr>
                <w:ilvl w:val="0"/>
                <w:numId w:val="16"/>
              </w:numPr>
              <w:bidi/>
              <w:ind w:left="301" w:hanging="301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استراتيجيات الإدارة الصفية: تعريفها وأهميتها. </w:t>
            </w:r>
          </w:p>
          <w:p w:rsidR="005E5D40" w:rsidRPr="002D4A80" w:rsidRDefault="005E5D40" w:rsidP="00821872">
            <w:pPr>
              <w:numPr>
                <w:ilvl w:val="0"/>
                <w:numId w:val="16"/>
              </w:numPr>
              <w:bidi/>
              <w:ind w:left="301" w:hanging="301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الاستراتيجيات التقليدية: (السلطوي والديمقراطي والسائب)</w:t>
            </w:r>
            <w:r w:rsidR="00CD4068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.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</w:p>
          <w:p w:rsidR="005E5D40" w:rsidRPr="00CD4068" w:rsidRDefault="005E5D40" w:rsidP="00821872">
            <w:pPr>
              <w:pStyle w:val="a4"/>
              <w:numPr>
                <w:ilvl w:val="0"/>
                <w:numId w:val="16"/>
              </w:numPr>
              <w:bidi/>
              <w:ind w:left="301" w:hanging="301"/>
              <w:jc w:val="both"/>
              <w:rPr>
                <w:rFonts w:asciiTheme="majorBidi" w:hAnsiTheme="majorBidi" w:cstheme="majorBidi"/>
              </w:rPr>
            </w:pPr>
            <w:r w:rsidRPr="00CD4068">
              <w:rPr>
                <w:rFonts w:ascii="Calibri" w:hAnsi="Calibri" w:cs="Calibri"/>
                <w:sz w:val="28"/>
                <w:szCs w:val="28"/>
                <w:rtl/>
              </w:rPr>
              <w:t>الاستراتيجيات الحديثة: (تعديل السلوك، الجو الاجتماعي الانفعالي، ومدخل عمليات الجماعة).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5E5D40" w:rsidRPr="0026349C" w:rsidRDefault="004A1455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 والعمل في مجموعات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EC5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5E5D40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  <w:p w:rsidR="00BE3EC5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والاختبار الأول</w:t>
            </w:r>
          </w:p>
          <w:p w:rsidR="00BE3EC5" w:rsidRPr="0026349C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4A1455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D4068" w:rsidP="0082187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8-12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2B25C8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93892" w:rsidRPr="004A1455" w:rsidRDefault="00C93892" w:rsidP="00821872">
            <w:pPr>
              <w:pStyle w:val="a4"/>
              <w:bidi/>
              <w:ind w:left="27"/>
              <w:rPr>
                <w:rFonts w:asciiTheme="minorHAnsi" w:hAnsiTheme="minorHAnsi" w:cstheme="minorHAnsi"/>
                <w:b/>
                <w:bCs/>
              </w:rPr>
            </w:pPr>
            <w:r w:rsidRPr="004A1455">
              <w:rPr>
                <w:rFonts w:asciiTheme="minorHAnsi" w:hAnsiTheme="minorHAnsi" w:cstheme="minorHAnsi"/>
                <w:b/>
                <w:bCs/>
                <w:rtl/>
              </w:rPr>
              <w:t>أن يكون المتعلم قادراً على</w:t>
            </w:r>
          </w:p>
          <w:p w:rsidR="00C26319" w:rsidRPr="004A1455" w:rsidRDefault="00CD4068" w:rsidP="00821872">
            <w:pPr>
              <w:pStyle w:val="a4"/>
              <w:numPr>
                <w:ilvl w:val="0"/>
                <w:numId w:val="28"/>
              </w:numPr>
              <w:tabs>
                <w:tab w:val="right" w:pos="168"/>
              </w:tabs>
              <w:bidi/>
              <w:ind w:left="27" w:firstLine="0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>تحديد ماهية المشكلات الصفية.</w:t>
            </w:r>
          </w:p>
          <w:p w:rsidR="00CD4068" w:rsidRPr="004A1455" w:rsidRDefault="00CD4068" w:rsidP="00821872">
            <w:pPr>
              <w:pStyle w:val="a4"/>
              <w:numPr>
                <w:ilvl w:val="0"/>
                <w:numId w:val="28"/>
              </w:numPr>
              <w:tabs>
                <w:tab w:val="right" w:pos="310"/>
              </w:tabs>
              <w:bidi/>
              <w:ind w:left="27" w:firstLine="0"/>
              <w:jc w:val="both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>التمييز بين المشكلات الإدارية والمشكلات التعليمية.</w:t>
            </w:r>
          </w:p>
          <w:p w:rsidR="00CD4068" w:rsidRPr="004A1455" w:rsidRDefault="00CD4068" w:rsidP="00821872">
            <w:pPr>
              <w:pStyle w:val="a4"/>
              <w:numPr>
                <w:ilvl w:val="0"/>
                <w:numId w:val="28"/>
              </w:numPr>
              <w:tabs>
                <w:tab w:val="right" w:pos="310"/>
              </w:tabs>
              <w:bidi/>
              <w:ind w:left="27" w:firstLine="0"/>
              <w:jc w:val="both"/>
              <w:rPr>
                <w:rFonts w:asciiTheme="minorHAnsi" w:hAnsiTheme="minorHAnsi" w:cstheme="minorHAnsi"/>
                <w:rtl/>
              </w:rPr>
            </w:pPr>
            <w:r w:rsidRPr="004A1455">
              <w:rPr>
                <w:rFonts w:asciiTheme="minorHAnsi" w:hAnsiTheme="minorHAnsi" w:cstheme="minorHAnsi"/>
                <w:rtl/>
              </w:rPr>
              <w:t>التمييز بين المشكلات الفردية والمشكلات الجماعية.</w:t>
            </w:r>
          </w:p>
          <w:p w:rsidR="00CD4068" w:rsidRPr="004A1455" w:rsidRDefault="00C93892" w:rsidP="00821872">
            <w:pPr>
              <w:pStyle w:val="a4"/>
              <w:numPr>
                <w:ilvl w:val="0"/>
                <w:numId w:val="28"/>
              </w:numPr>
              <w:tabs>
                <w:tab w:val="right" w:pos="310"/>
              </w:tabs>
              <w:bidi/>
              <w:ind w:left="27" w:firstLine="0"/>
              <w:jc w:val="both"/>
              <w:rPr>
                <w:rFonts w:asciiTheme="minorHAnsi" w:hAnsiTheme="minorHAnsi" w:cstheme="minorHAnsi"/>
              </w:rPr>
            </w:pPr>
            <w:r w:rsidRPr="004A1455">
              <w:rPr>
                <w:rFonts w:asciiTheme="minorHAnsi" w:hAnsiTheme="minorHAnsi" w:cstheme="minorHAnsi"/>
                <w:rtl/>
              </w:rPr>
              <w:t>تشخيص الأساليب المناسبة لعلاج مشكلات  الإدارة الصفية.</w:t>
            </w:r>
          </w:p>
        </w:tc>
        <w:tc>
          <w:tcPr>
            <w:tcW w:w="3118" w:type="dxa"/>
            <w:shd w:val="clear" w:color="auto" w:fill="auto"/>
          </w:tcPr>
          <w:p w:rsidR="00CD4068" w:rsidRPr="002D4A80" w:rsidRDefault="00CD4068" w:rsidP="00821872">
            <w:pPr>
              <w:bidi/>
              <w:ind w:left="315" w:hanging="315"/>
              <w:jc w:val="lowKashida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2D4A80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>المحور الثالث</w:t>
            </w:r>
            <w:r w:rsidRPr="002D4A80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،</w:t>
            </w:r>
            <w:r w:rsidRPr="002D4A80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ab/>
              <w:t>و</w:t>
            </w:r>
            <w:r w:rsidRPr="002D4A80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يتناول:</w:t>
            </w:r>
            <w:r w:rsidRPr="002D4A80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</w:t>
            </w:r>
          </w:p>
          <w:p w:rsidR="00CD4068" w:rsidRPr="002D4A80" w:rsidRDefault="00CD4068" w:rsidP="00821872">
            <w:pPr>
              <w:bidi/>
              <w:ind w:left="315" w:hanging="315"/>
              <w:jc w:val="lowKashida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D4A80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          </w:t>
            </w: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مشكلات إدارة الصف: </w:t>
            </w:r>
          </w:p>
          <w:p w:rsidR="00CD4068" w:rsidRPr="002D4A80" w:rsidRDefault="00CD4068" w:rsidP="00821872">
            <w:pPr>
              <w:numPr>
                <w:ilvl w:val="0"/>
                <w:numId w:val="15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المشكلات الإدارية، </w:t>
            </w:r>
          </w:p>
          <w:p w:rsidR="00CD4068" w:rsidRPr="002D4A80" w:rsidRDefault="00CD4068" w:rsidP="00821872">
            <w:pPr>
              <w:numPr>
                <w:ilvl w:val="0"/>
                <w:numId w:val="15"/>
              </w:numPr>
              <w:bidi/>
              <w:jc w:val="lowKashida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المشكلات التعليمية،  </w:t>
            </w:r>
          </w:p>
          <w:p w:rsidR="009545CF" w:rsidRPr="009545CF" w:rsidRDefault="00CD4068" w:rsidP="00821872">
            <w:pPr>
              <w:numPr>
                <w:ilvl w:val="0"/>
                <w:numId w:val="15"/>
              </w:num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المشكلات الفردية، </w:t>
            </w:r>
          </w:p>
          <w:p w:rsidR="009545CF" w:rsidRPr="009545CF" w:rsidRDefault="00CD4068" w:rsidP="00821872">
            <w:pPr>
              <w:numPr>
                <w:ilvl w:val="0"/>
                <w:numId w:val="15"/>
              </w:num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المشكلات الجماعية.</w:t>
            </w:r>
          </w:p>
          <w:p w:rsidR="00C26319" w:rsidRPr="0026349C" w:rsidRDefault="00CD4068" w:rsidP="00821872">
            <w:pPr>
              <w:numPr>
                <w:ilvl w:val="0"/>
                <w:numId w:val="15"/>
              </w:num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2D4A80">
              <w:rPr>
                <w:rFonts w:ascii="Calibri" w:eastAsia="Times New Roman" w:hAnsi="Calibri" w:cs="Calibri"/>
                <w:sz w:val="28"/>
                <w:szCs w:val="28"/>
                <w:rtl/>
              </w:rPr>
              <w:t>الأساليب المناسبة لعلاج مشكلات إدارة الصف.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26319" w:rsidRPr="0026349C" w:rsidRDefault="00821872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 والتعلم الفردي والعمل في مجموعات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EC5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C26319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  <w:p w:rsidR="00BE3EC5" w:rsidRPr="0026349C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 الثاني</w:t>
            </w:r>
          </w:p>
        </w:tc>
      </w:tr>
      <w:tr w:rsidR="00C26319" w:rsidRPr="00910CF9" w:rsidTr="004A1455">
        <w:trPr>
          <w:trHeight w:val="7665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2B25C8" w:rsidP="00821872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13-15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B25C8" w:rsidRPr="004A1455" w:rsidRDefault="002B25C8" w:rsidP="00821872">
            <w:pPr>
              <w:pStyle w:val="a4"/>
              <w:bidi/>
              <w:ind w:left="27"/>
              <w:rPr>
                <w:rFonts w:asciiTheme="minorHAnsi" w:hAnsiTheme="minorHAnsi" w:cstheme="minorHAnsi"/>
                <w:b/>
                <w:bCs/>
              </w:rPr>
            </w:pPr>
            <w:r w:rsidRPr="004A1455">
              <w:rPr>
                <w:rFonts w:asciiTheme="minorHAnsi" w:hAnsiTheme="minorHAnsi" w:cstheme="minorHAnsi"/>
                <w:b/>
                <w:bCs/>
                <w:rtl/>
              </w:rPr>
              <w:t>أن يكون المتعلم قادراً على</w:t>
            </w:r>
          </w:p>
          <w:p w:rsidR="002B25C8" w:rsidRPr="004A1455" w:rsidRDefault="002B25C8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168" w:hanging="141"/>
              <w:jc w:val="lowKashida"/>
              <w:rPr>
                <w:rFonts w:eastAsia="Times New Roman" w:cstheme="minorHAnsi"/>
                <w:sz w:val="24"/>
                <w:szCs w:val="24"/>
              </w:rPr>
            </w:pPr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>تحديد أهمية أدوات ملاحظة التدريس في العملية التعليمية التعلمية.</w:t>
            </w:r>
          </w:p>
          <w:p w:rsidR="002B25C8" w:rsidRPr="004A1455" w:rsidRDefault="002B25C8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168" w:hanging="141"/>
              <w:jc w:val="lowKashida"/>
              <w:rPr>
                <w:rFonts w:eastAsia="Times New Roman" w:cstheme="minorHAnsi"/>
                <w:sz w:val="24"/>
                <w:szCs w:val="24"/>
              </w:rPr>
            </w:pPr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تحديد أنواع أدوات ملاحظة التدريس وتصنيفاتها واستعمالاتها التربوية، وفوائدها. </w:t>
            </w:r>
          </w:p>
          <w:p w:rsidR="002B25C8" w:rsidRPr="004A1455" w:rsidRDefault="002B25C8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310" w:hanging="283"/>
              <w:jc w:val="lowKashida"/>
              <w:rPr>
                <w:rFonts w:eastAsia="Times New Roman" w:cstheme="minorHAnsi"/>
                <w:sz w:val="24"/>
                <w:szCs w:val="24"/>
              </w:rPr>
            </w:pPr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تحديد مكونات أداة </w:t>
            </w:r>
            <w:proofErr w:type="spellStart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>فلاندرز</w:t>
            </w:r>
            <w:proofErr w:type="spellEnd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>.</w:t>
            </w:r>
          </w:p>
          <w:p w:rsidR="002B25C8" w:rsidRPr="004A1455" w:rsidRDefault="002B25C8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310" w:hanging="283"/>
              <w:jc w:val="lowKashida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إستخدام</w:t>
            </w:r>
            <w:proofErr w:type="spellEnd"/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أداة </w:t>
            </w:r>
            <w:proofErr w:type="spellStart"/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فلاندرز</w:t>
            </w:r>
            <w:proofErr w:type="spellEnd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 في تحليل التفاعل اللفظي.</w:t>
            </w:r>
          </w:p>
          <w:p w:rsidR="002B25C8" w:rsidRPr="004A1455" w:rsidRDefault="004A1455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310" w:hanging="283"/>
              <w:jc w:val="lowKashida"/>
              <w:rPr>
                <w:rFonts w:cstheme="minorHAnsi"/>
                <w:sz w:val="24"/>
                <w:szCs w:val="24"/>
              </w:rPr>
            </w:pPr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تحديد مكونات أداة </w:t>
            </w:r>
            <w:proofErr w:type="spellStart"/>
            <w:r w:rsidRPr="004A145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غالاوي</w:t>
            </w:r>
            <w:proofErr w:type="spellEnd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 لتحليل التفاعل غير اللفظي وآلية استعمالاها.</w:t>
            </w:r>
          </w:p>
          <w:p w:rsidR="004A1455" w:rsidRPr="004A1455" w:rsidRDefault="004A1455" w:rsidP="00821872">
            <w:pPr>
              <w:numPr>
                <w:ilvl w:val="0"/>
                <w:numId w:val="10"/>
              </w:numPr>
              <w:tabs>
                <w:tab w:val="num" w:pos="310"/>
              </w:tabs>
              <w:bidi/>
              <w:ind w:left="310" w:hanging="283"/>
              <w:jc w:val="lowKashida"/>
              <w:rPr>
                <w:rFonts w:cstheme="minorHAnsi"/>
                <w:sz w:val="24"/>
                <w:szCs w:val="24"/>
              </w:rPr>
            </w:pPr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استخدام أداة </w:t>
            </w:r>
            <w:proofErr w:type="spellStart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>غالاوي</w:t>
            </w:r>
            <w:proofErr w:type="spellEnd"/>
            <w:r w:rsidRPr="004A1455">
              <w:rPr>
                <w:rFonts w:eastAsia="Times New Roman" w:cstheme="minorHAnsi"/>
                <w:sz w:val="24"/>
                <w:szCs w:val="24"/>
                <w:rtl/>
              </w:rPr>
              <w:t xml:space="preserve"> في تحليل بعض حالات التفاعل غير اللفظي.</w:t>
            </w:r>
          </w:p>
        </w:tc>
        <w:tc>
          <w:tcPr>
            <w:tcW w:w="3118" w:type="dxa"/>
            <w:shd w:val="clear" w:color="auto" w:fill="auto"/>
          </w:tcPr>
          <w:p w:rsidR="004A1455" w:rsidRPr="002D4A80" w:rsidRDefault="004A1455" w:rsidP="00821872">
            <w:pPr>
              <w:bidi/>
              <w:ind w:left="315" w:hanging="315"/>
              <w:jc w:val="lowKashida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2D4A80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rtl/>
              </w:rPr>
              <w:t>المحور الرابع</w:t>
            </w:r>
            <w:r w:rsidRPr="002D4A80">
              <w:rPr>
                <w:rFonts w:ascii="Times New Roman" w:eastAsia="Times New Roman" w:hAnsi="Times New Roman" w:cs="PT Bold Heading" w:hint="cs"/>
                <w:b/>
                <w:bCs/>
                <w:sz w:val="28"/>
                <w:szCs w:val="28"/>
                <w:rtl/>
              </w:rPr>
              <w:t>،</w:t>
            </w:r>
            <w:r w:rsidRPr="002D4A80"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  <w:t xml:space="preserve"> و</w:t>
            </w:r>
            <w:r w:rsidRPr="002D4A80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يتناول:</w:t>
            </w:r>
          </w:p>
          <w:p w:rsidR="004A1455" w:rsidRPr="004A1455" w:rsidRDefault="004A1455" w:rsidP="00821872">
            <w:pPr>
              <w:bidi/>
              <w:ind w:left="315" w:hanging="315"/>
              <w:jc w:val="lowKashida"/>
              <w:rPr>
                <w:rFonts w:eastAsia="Times New Roman" w:cstheme="minorHAnsi"/>
                <w:sz w:val="28"/>
                <w:szCs w:val="28"/>
                <w:rtl/>
              </w:rPr>
            </w:pPr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>أدوات ملاحظة التدريس بشكل عام، وبشكلٍ خاص المحاور الآتية:</w:t>
            </w:r>
          </w:p>
          <w:p w:rsidR="004A1455" w:rsidRPr="004A1455" w:rsidRDefault="004A1455" w:rsidP="00821872">
            <w:pPr>
              <w:numPr>
                <w:ilvl w:val="0"/>
                <w:numId w:val="10"/>
              </w:numPr>
              <w:tabs>
                <w:tab w:val="num" w:pos="457"/>
              </w:tabs>
              <w:bidi/>
              <w:ind w:left="457" w:hanging="283"/>
              <w:jc w:val="lowKashida"/>
              <w:rPr>
                <w:rFonts w:eastAsia="Times New Roman" w:cstheme="minorHAnsi"/>
                <w:sz w:val="28"/>
                <w:szCs w:val="28"/>
              </w:rPr>
            </w:pPr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تطورها في التربية والتدريس، أنواعها، تصنيفاتها، استعمالاتها التربوية، وفوائدها. </w:t>
            </w:r>
          </w:p>
          <w:p w:rsidR="004A1455" w:rsidRPr="004A1455" w:rsidRDefault="004A1455" w:rsidP="00821872">
            <w:pPr>
              <w:numPr>
                <w:ilvl w:val="0"/>
                <w:numId w:val="10"/>
              </w:numPr>
              <w:tabs>
                <w:tab w:val="num" w:pos="315"/>
                <w:tab w:val="num" w:pos="457"/>
              </w:tabs>
              <w:bidi/>
              <w:ind w:left="457" w:hanging="283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أداة </w:t>
            </w:r>
            <w:proofErr w:type="spellStart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>فلاندرز</w:t>
            </w:r>
            <w:proofErr w:type="spellEnd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 لتحليل التفاعل </w:t>
            </w:r>
            <w:proofErr w:type="spellStart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>اللفظي:</w:t>
            </w:r>
            <w:proofErr w:type="spellEnd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 مكوناتها، تصنيفاتها، آلية استعمالها، وفوائدها.</w:t>
            </w:r>
          </w:p>
          <w:p w:rsidR="00C26319" w:rsidRPr="0026349C" w:rsidRDefault="004A1455" w:rsidP="00821872">
            <w:pPr>
              <w:numPr>
                <w:ilvl w:val="0"/>
                <w:numId w:val="10"/>
              </w:numPr>
              <w:tabs>
                <w:tab w:val="num" w:pos="315"/>
                <w:tab w:val="num" w:pos="457"/>
              </w:tabs>
              <w:bidi/>
              <w:ind w:left="457" w:hanging="283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أداة </w:t>
            </w:r>
            <w:proofErr w:type="spellStart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>غالاوي</w:t>
            </w:r>
            <w:proofErr w:type="spellEnd"/>
            <w:r w:rsidRPr="004A1455">
              <w:rPr>
                <w:rFonts w:eastAsia="Times New Roman" w:cstheme="minorHAnsi"/>
                <w:sz w:val="28"/>
                <w:szCs w:val="28"/>
                <w:rtl/>
              </w:rPr>
              <w:t xml:space="preserve"> لتحليل التفاعل غير اللفظي: مكوناتها، وآلية استعمالها.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26319" w:rsidRPr="0026349C" w:rsidRDefault="00821872" w:rsidP="008218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 والتعلم الفردي والعمل في مجموعات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EC5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والأسئلة أثناء الموقف التعليمي</w:t>
            </w:r>
          </w:p>
          <w:p w:rsidR="00C26319" w:rsidRPr="0026349C" w:rsidRDefault="00BE3EC5" w:rsidP="00BE3EC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والاختبارات القصيرة.</w:t>
            </w:r>
          </w:p>
        </w:tc>
      </w:tr>
    </w:tbl>
    <w:p w:rsidR="00C26319" w:rsidRDefault="00C26319" w:rsidP="00821872">
      <w:pPr>
        <w:bidi/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23252C" w:rsidRDefault="00BE3EC5" w:rsidP="0023252C">
            <w:pPr>
              <w:bidi/>
              <w:ind w:left="720"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proofErr w:type="spellStart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خطايبة،</w:t>
            </w:r>
            <w:proofErr w:type="spellEnd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ماجد </w:t>
            </w:r>
            <w:proofErr w:type="spellStart"/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والطويسي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،</w:t>
            </w:r>
            <w:proofErr w:type="spellEnd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أحمد والسلطاني،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عبد الحسي</w:t>
            </w:r>
            <w:r w:rsidRPr="002D4A80">
              <w:rPr>
                <w:rFonts w:ascii="Times New Roman" w:eastAsia="Times New Roman" w:hAnsi="Times New Roman" w:cs="Arabic Transparent" w:hint="eastAsia"/>
                <w:sz w:val="20"/>
                <w:szCs w:val="26"/>
                <w:rtl/>
              </w:rPr>
              <w:t>ن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(20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14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) 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>التفاعل الصفي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. </w:t>
            </w:r>
            <w:r w:rsidRPr="002D4A80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6"/>
                <w:rtl/>
              </w:rPr>
              <w:t>(ط4)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 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دار الشروق للنشر والتوزيع-الأردن.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E3EC5" w:rsidRPr="002D4A80" w:rsidRDefault="00BE3EC5" w:rsidP="00BE3EC5">
            <w:pPr>
              <w:numPr>
                <w:ilvl w:val="0"/>
                <w:numId w:val="13"/>
              </w:numPr>
              <w:bidi/>
              <w:jc w:val="lowKashida"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حمدان، محمد زياد (1984)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 xml:space="preserve"> أدوات ملاحظة التدريس: مناهجها واستعمالاتها في تحسين التربية العربية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. الدار السعودية للنشر والتوزيع، جدة.</w:t>
            </w:r>
          </w:p>
          <w:p w:rsidR="00BE3EC5" w:rsidRPr="002D4A80" w:rsidRDefault="00BE3EC5" w:rsidP="00BE3EC5">
            <w:pPr>
              <w:numPr>
                <w:ilvl w:val="0"/>
                <w:numId w:val="13"/>
              </w:numPr>
              <w:bidi/>
              <w:jc w:val="lowKashida"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حمدان، محمد زياد (1986) 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>التعلم الصفي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. دار الفكر للنشر والتوزيع، عمان.</w:t>
            </w:r>
          </w:p>
          <w:p w:rsidR="00BE3EC5" w:rsidRPr="002D4A80" w:rsidRDefault="00BE3EC5" w:rsidP="00BE3EC5">
            <w:pPr>
              <w:numPr>
                <w:ilvl w:val="0"/>
                <w:numId w:val="13"/>
              </w:numPr>
              <w:bidi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proofErr w:type="spellStart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خطايبة،</w:t>
            </w:r>
            <w:proofErr w:type="spellEnd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ماجد </w:t>
            </w:r>
            <w:proofErr w:type="spellStart"/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والطويسي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،</w:t>
            </w:r>
            <w:proofErr w:type="spellEnd"/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أحمد والسلطاني،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عبد الحسي</w:t>
            </w:r>
            <w:r w:rsidRPr="002D4A80">
              <w:rPr>
                <w:rFonts w:ascii="Times New Roman" w:eastAsia="Times New Roman" w:hAnsi="Times New Roman" w:cs="Arabic Transparent" w:hint="eastAsia"/>
                <w:sz w:val="20"/>
                <w:szCs w:val="26"/>
                <w:rtl/>
              </w:rPr>
              <w:t>ن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(20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14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) 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>التفاعل الصفي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. </w:t>
            </w:r>
            <w:r w:rsidRPr="002D4A80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6"/>
                <w:rtl/>
              </w:rPr>
              <w:t>(ط4)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 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دار الشروق للنشر والتوزيع-الأردن.</w:t>
            </w:r>
          </w:p>
          <w:p w:rsidR="00BE3EC5" w:rsidRPr="002D4A80" w:rsidRDefault="00BE3EC5" w:rsidP="00BE3EC5">
            <w:pPr>
              <w:numPr>
                <w:ilvl w:val="0"/>
                <w:numId w:val="13"/>
              </w:numPr>
              <w:bidi/>
              <w:jc w:val="lowKashida"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قطامي، يوسف: الشيخ،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خالد 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(1992) 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>التفاعل الصفي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. مجلة رسالة المعلم، العددان الثاني والثالث في المجلد الثالث والثلاثون. مجلة دورة تصدر عن وزارة التربية والتعليم - الأردن.</w:t>
            </w:r>
          </w:p>
          <w:p w:rsidR="00D862D9" w:rsidRPr="00BE3EC5" w:rsidRDefault="00BE3EC5" w:rsidP="00BE3EC5">
            <w:pPr>
              <w:numPr>
                <w:ilvl w:val="0"/>
                <w:numId w:val="13"/>
              </w:numPr>
              <w:bidi/>
              <w:jc w:val="lowKashida"/>
              <w:rPr>
                <w:rFonts w:ascii="Times New Roman" w:eastAsia="Times New Roman" w:hAnsi="Times New Roman" w:cs="Arabic Transparent"/>
                <w:sz w:val="20"/>
                <w:szCs w:val="26"/>
              </w:rPr>
            </w:pP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مجموعة من 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 xml:space="preserve">الباحثين. 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(2000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) ملف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 xml:space="preserve"> العدد: </w:t>
            </w:r>
            <w:r w:rsidRPr="002D4A80">
              <w:rPr>
                <w:rFonts w:ascii="Times New Roman" w:eastAsia="Times New Roman" w:hAnsi="Times New Roman" w:cs="Arabic Transparent"/>
                <w:b/>
                <w:bCs/>
                <w:sz w:val="20"/>
                <w:szCs w:val="26"/>
                <w:rtl/>
              </w:rPr>
              <w:t>الإدارة الصفية مفهومها وتطبيقاتها، النظام الصفي والعوامل المؤثرة فيه…</w:t>
            </w:r>
            <w:r w:rsidRPr="002D4A80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26"/>
                <w:rtl/>
              </w:rPr>
              <w:t>.. ال</w:t>
            </w:r>
            <w:r w:rsidRPr="002D4A80">
              <w:rPr>
                <w:rFonts w:ascii="Times New Roman" w:eastAsia="Times New Roman" w:hAnsi="Times New Roman" w:cs="Arabic Transparent" w:hint="eastAsia"/>
                <w:b/>
                <w:bCs/>
                <w:sz w:val="20"/>
                <w:szCs w:val="26"/>
                <w:rtl/>
              </w:rPr>
              <w:t>خ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. رسالة المعلم بديل العددين الأول والثاني، مجلد 40.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</w:rPr>
              <w:t xml:space="preserve"> </w:t>
            </w:r>
            <w:r w:rsidRPr="002D4A80">
              <w:rPr>
                <w:rFonts w:ascii="Times New Roman" w:eastAsia="Times New Roman" w:hAnsi="Times New Roman" w:cs="Arabic Transparent"/>
                <w:sz w:val="20"/>
                <w:szCs w:val="26"/>
                <w:rtl/>
              </w:rPr>
              <w:t>وزارة التربية والتعليم-الأردن</w:t>
            </w:r>
            <w:r w:rsidRPr="002D4A80">
              <w:rPr>
                <w:rFonts w:ascii="Times New Roman" w:eastAsia="Times New Roman" w:hAnsi="Times New Roman" w:cs="Arabic Transparent" w:hint="cs"/>
                <w:sz w:val="20"/>
                <w:szCs w:val="26"/>
                <w:rtl/>
              </w:rPr>
              <w:t>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BE3EC5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 المعتمد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23252C" w:rsidP="0082187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الانترنت، أوراق عمل تقدم للمتعلمين اثناء المواقف التعليمية.</w:t>
            </w:r>
          </w:p>
        </w:tc>
      </w:tr>
    </w:tbl>
    <w:p w:rsidR="00C26319" w:rsidRDefault="00C26319" w:rsidP="00821872">
      <w:pPr>
        <w:bidi/>
        <w:rPr>
          <w:rtl/>
        </w:rPr>
      </w:pPr>
    </w:p>
    <w:p w:rsidR="00821872" w:rsidRDefault="00821872" w:rsidP="00821872">
      <w:pPr>
        <w:bidi/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E3EC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1a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2a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3a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1b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E3EC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3a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4a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1c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2c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E3EC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2b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3c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bookmarkStart w:id="0" w:name="_GoBack"/>
            <w:bookmarkEnd w:id="0"/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3C113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بالإضافة ل</w:t>
            </w:r>
            <w:r w:rsidR="0023252C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جميع المخرجات</w:t>
            </w: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السابقة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E3EC5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المناقشات أثناء المحاضرات وكذلك الاختبارات القصيرة</w:t>
            </w: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ضمن اعمال الفصل 10%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ضمن اعمال الفصل 10%</w:t>
            </w: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23252C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821872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307882" w:rsidRDefault="00307882" w:rsidP="00821872">
      <w:pPr>
        <w:bidi/>
        <w:rPr>
          <w:rtl/>
        </w:rPr>
      </w:pPr>
    </w:p>
    <w:p w:rsidR="00307882" w:rsidRDefault="00307882" w:rsidP="00821872">
      <w:pPr>
        <w:bidi/>
        <w:rPr>
          <w:rtl/>
        </w:rPr>
      </w:pPr>
    </w:p>
    <w:p w:rsidR="00307882" w:rsidRDefault="00307882" w:rsidP="00821872">
      <w:pPr>
        <w:bidi/>
      </w:pPr>
    </w:p>
    <w:sectPr w:rsidR="00307882" w:rsidSect="00FB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5CF"/>
    <w:multiLevelType w:val="hybridMultilevel"/>
    <w:tmpl w:val="CC0EC7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956"/>
    <w:multiLevelType w:val="hybridMultilevel"/>
    <w:tmpl w:val="EE98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3F02"/>
    <w:multiLevelType w:val="hybridMultilevel"/>
    <w:tmpl w:val="771CF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7875"/>
    <w:multiLevelType w:val="hybridMultilevel"/>
    <w:tmpl w:val="F90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95724"/>
    <w:multiLevelType w:val="hybridMultilevel"/>
    <w:tmpl w:val="2E749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56B30"/>
    <w:multiLevelType w:val="hybridMultilevel"/>
    <w:tmpl w:val="AE081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4BEF"/>
    <w:multiLevelType w:val="hybridMultilevel"/>
    <w:tmpl w:val="241E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E5F37"/>
    <w:multiLevelType w:val="hybridMultilevel"/>
    <w:tmpl w:val="FAD4205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993305D"/>
    <w:multiLevelType w:val="hybridMultilevel"/>
    <w:tmpl w:val="35A0C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25F"/>
    <w:multiLevelType w:val="hybridMultilevel"/>
    <w:tmpl w:val="D8AE0548"/>
    <w:lvl w:ilvl="0" w:tplc="040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3">
    <w:nsid w:val="34740C48"/>
    <w:multiLevelType w:val="hybridMultilevel"/>
    <w:tmpl w:val="D0BC3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3794A"/>
    <w:multiLevelType w:val="hybridMultilevel"/>
    <w:tmpl w:val="261C5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975B9"/>
    <w:multiLevelType w:val="hybridMultilevel"/>
    <w:tmpl w:val="76A89E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F300E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7C9C"/>
    <w:multiLevelType w:val="hybridMultilevel"/>
    <w:tmpl w:val="E66A1050"/>
    <w:lvl w:ilvl="0" w:tplc="C922C40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52246487"/>
    <w:multiLevelType w:val="hybridMultilevel"/>
    <w:tmpl w:val="B45A673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01B2"/>
    <w:multiLevelType w:val="hybridMultilevel"/>
    <w:tmpl w:val="7AB26A34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3">
    <w:nsid w:val="5A3566BF"/>
    <w:multiLevelType w:val="hybridMultilevel"/>
    <w:tmpl w:val="80CE07D0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2BC9"/>
    <w:multiLevelType w:val="hybridMultilevel"/>
    <w:tmpl w:val="440861C8"/>
    <w:lvl w:ilvl="0" w:tplc="2BFA96FC">
      <w:start w:val="3"/>
      <w:numFmt w:val="bullet"/>
      <w:lvlText w:val="-"/>
      <w:lvlJc w:val="left"/>
      <w:pPr>
        <w:ind w:left="342" w:hanging="360"/>
      </w:pPr>
      <w:rPr>
        <w:rFonts w:ascii="Calibri" w:eastAsia="Times New Roman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5">
    <w:nsid w:val="637F4F60"/>
    <w:multiLevelType w:val="singleLevel"/>
    <w:tmpl w:val="968E6716"/>
    <w:lvl w:ilvl="0">
      <w:start w:val="1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abstractNum w:abstractNumId="26">
    <w:nsid w:val="668A1886"/>
    <w:multiLevelType w:val="hybridMultilevel"/>
    <w:tmpl w:val="077093C2"/>
    <w:lvl w:ilvl="0" w:tplc="7618E6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6911318"/>
    <w:multiLevelType w:val="hybridMultilevel"/>
    <w:tmpl w:val="4F5A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E6CDE"/>
    <w:multiLevelType w:val="hybridMultilevel"/>
    <w:tmpl w:val="9E8E4B3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29"/>
  </w:num>
  <w:num w:numId="5">
    <w:abstractNumId w:val="8"/>
  </w:num>
  <w:num w:numId="6">
    <w:abstractNumId w:val="1"/>
  </w:num>
  <w:num w:numId="7">
    <w:abstractNumId w:val="21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25"/>
  </w:num>
  <w:num w:numId="13">
    <w:abstractNumId w:val="11"/>
  </w:num>
  <w:num w:numId="14">
    <w:abstractNumId w:val="7"/>
  </w:num>
  <w:num w:numId="15">
    <w:abstractNumId w:val="9"/>
  </w:num>
  <w:num w:numId="16">
    <w:abstractNumId w:val="26"/>
  </w:num>
  <w:num w:numId="17">
    <w:abstractNumId w:val="5"/>
  </w:num>
  <w:num w:numId="18">
    <w:abstractNumId w:val="10"/>
  </w:num>
  <w:num w:numId="19">
    <w:abstractNumId w:val="28"/>
  </w:num>
  <w:num w:numId="20">
    <w:abstractNumId w:val="27"/>
  </w:num>
  <w:num w:numId="21">
    <w:abstractNumId w:val="13"/>
  </w:num>
  <w:num w:numId="22">
    <w:abstractNumId w:val="4"/>
  </w:num>
  <w:num w:numId="23">
    <w:abstractNumId w:val="19"/>
  </w:num>
  <w:num w:numId="24">
    <w:abstractNumId w:val="18"/>
  </w:num>
  <w:num w:numId="25">
    <w:abstractNumId w:val="2"/>
  </w:num>
  <w:num w:numId="26">
    <w:abstractNumId w:val="24"/>
  </w:num>
  <w:num w:numId="27">
    <w:abstractNumId w:val="22"/>
  </w:num>
  <w:num w:numId="28">
    <w:abstractNumId w:val="20"/>
  </w:num>
  <w:num w:numId="29">
    <w:abstractNumId w:val="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15231E"/>
    <w:rsid w:val="00155814"/>
    <w:rsid w:val="0023252C"/>
    <w:rsid w:val="002429C4"/>
    <w:rsid w:val="00263393"/>
    <w:rsid w:val="0026349C"/>
    <w:rsid w:val="002B25C8"/>
    <w:rsid w:val="002D4A80"/>
    <w:rsid w:val="00307882"/>
    <w:rsid w:val="003C1135"/>
    <w:rsid w:val="004A1455"/>
    <w:rsid w:val="005E5D40"/>
    <w:rsid w:val="00821872"/>
    <w:rsid w:val="0089088C"/>
    <w:rsid w:val="008C0140"/>
    <w:rsid w:val="008D1E50"/>
    <w:rsid w:val="009545CF"/>
    <w:rsid w:val="00AC7C78"/>
    <w:rsid w:val="00BE3EC5"/>
    <w:rsid w:val="00C215ED"/>
    <w:rsid w:val="00C26319"/>
    <w:rsid w:val="00C93892"/>
    <w:rsid w:val="00CD4068"/>
    <w:rsid w:val="00D549D0"/>
    <w:rsid w:val="00D862D9"/>
    <w:rsid w:val="00DD28A7"/>
    <w:rsid w:val="00E70C46"/>
    <w:rsid w:val="00FB134F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UXCFDSH4Y37E-11-348</_dlc_DocId>
    <_dlc_DocIdUrl xmlns="b417192f-9b40-4b27-a16e-6e0147391471">
      <Url>https://www.mutah.edu.jo/ar/education/_layouts/DocIdRedir.aspx?ID=UXCFDSH4Y37E-11-348</Url>
      <Description>UXCFDSH4Y37E-11-348</Description>
    </_dlc_DocIdUrl>
  </documentManagement>
</p:properties>
</file>

<file path=customXml/itemProps1.xml><?xml version="1.0" encoding="utf-8"?>
<ds:datastoreItem xmlns:ds="http://schemas.openxmlformats.org/officeDocument/2006/customXml" ds:itemID="{7B60A054-BA97-4256-88BE-F168CF39E318}"/>
</file>

<file path=customXml/itemProps2.xml><?xml version="1.0" encoding="utf-8"?>
<ds:datastoreItem xmlns:ds="http://schemas.openxmlformats.org/officeDocument/2006/customXml" ds:itemID="{C1C4F6A4-8B1C-4C2E-AE7C-194363071C18}"/>
</file>

<file path=customXml/itemProps3.xml><?xml version="1.0" encoding="utf-8"?>
<ds:datastoreItem xmlns:ds="http://schemas.openxmlformats.org/officeDocument/2006/customXml" ds:itemID="{F91669CA-39FA-43D2-BD02-33024D46B669}"/>
</file>

<file path=customXml/itemProps4.xml><?xml version="1.0" encoding="utf-8"?>
<ds:datastoreItem xmlns:ds="http://schemas.openxmlformats.org/officeDocument/2006/customXml" ds:itemID="{1125A88F-BC00-4F56-9976-916011313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2023-11-06T06:04:00Z</dcterms:created>
  <dcterms:modified xsi:type="dcterms:W3CDTF">2023-11-06T06:04:00Z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306e6e9f-6f1c-46b8-bb1b-c01e8808743b</vt:lpwstr>
  </property>
  <property fmtid="{D5CDD505-2E9C-101B-9397-08002B2CF9AE}" pid="3" name="ContentTypeId">
    <vt:lpwstr>0x010100D9856E8CD0EC1744B5B22A4DBE36B072</vt:lpwstr>
  </property>
</Properties>
</file>