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1" w:rsidRPr="00960511" w:rsidRDefault="000E0C6C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ا</w:t>
      </w:r>
      <w:r w:rsidR="00960511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B7051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المناهج </w:t>
            </w:r>
            <w:r w:rsidR="00B7051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والادارة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6F2B15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إجباري</w:t>
            </w:r>
            <w:bookmarkStart w:id="1" w:name="_GoBack"/>
            <w:bookmarkEnd w:id="1"/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0E0C6C" w:rsidP="0055357D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E0C6C">
              <w:rPr>
                <w:rFonts w:ascii="Cambria" w:eastAsia="Cambria" w:hAnsi="Cambria" w:cs="Arial"/>
                <w:bCs/>
                <w:color w:val="000000"/>
                <w:sz w:val="28"/>
                <w:szCs w:val="28"/>
                <w:rtl/>
              </w:rPr>
              <w:t>080</w:t>
            </w:r>
            <w:r w:rsidR="0055357D">
              <w:rPr>
                <w:rFonts w:ascii="Cambria" w:eastAsia="Cambria" w:hAnsi="Cambria" w:cs="Arial" w:hint="cs"/>
                <w:bCs/>
                <w:color w:val="000000"/>
                <w:sz w:val="28"/>
                <w:szCs w:val="28"/>
                <w:rtl/>
              </w:rPr>
              <w:t>2702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55357D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التعلم الالكتروني وتطبيقاته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B7051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A23EB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1.5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A23EB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1.5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2022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0E0C6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0E0C6C">
              <w:rPr>
                <w:rFonts w:eastAsia="Calibri" w:cs="Simplified Arabic"/>
                <w:color w:val="000000"/>
                <w:sz w:val="28"/>
                <w:szCs w:val="32"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55357D" w:rsidRPr="0055357D" w:rsidRDefault="0055357D" w:rsidP="0055357D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 مفهوم التعلم الإلكتروني وفلسفته ومبرراته وخصائصه وأنماطه مزاياه.</w:t>
            </w:r>
          </w:p>
          <w:p w:rsidR="0055357D" w:rsidRPr="0055357D" w:rsidRDefault="0055357D" w:rsidP="0055357D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5357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التعرف على مفهوم الإنترنت والمفاهيم ذات العلاقة.</w:t>
            </w:r>
          </w:p>
          <w:p w:rsidR="0055357D" w:rsidRPr="0055357D" w:rsidRDefault="0055357D" w:rsidP="0055357D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</w:t>
            </w:r>
            <w:r w:rsidRPr="0055357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بتطبيقات</w:t>
            </w:r>
            <w:r w:rsidRPr="0055357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الإنترنت الأساسية وتوظيفها في التعليم.</w:t>
            </w:r>
          </w:p>
          <w:p w:rsidR="0055357D" w:rsidRPr="0055357D" w:rsidRDefault="0055357D" w:rsidP="0055357D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5357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اكتساب المفاهيم والمعارف النظرية والمهارات الخاصة </w:t>
            </w: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بتطبيقات</w:t>
            </w:r>
            <w:r w:rsidRPr="0055357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الجيل الثاني للويب وتوظيفها في التعليم.  </w:t>
            </w:r>
          </w:p>
          <w:p w:rsidR="0055357D" w:rsidRPr="0055357D" w:rsidRDefault="0055357D" w:rsidP="0055357D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5357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التعرف على </w:t>
            </w: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تطبيقات جوجل التفاعلية والحوسبة السحابية وجوجل كلاس روم.</w:t>
            </w:r>
          </w:p>
          <w:p w:rsidR="00357238" w:rsidRDefault="00357238" w:rsidP="00357238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357238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المدونات التعليمية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 xml:space="preserve"> وأهميتها ومعايير تصميمها</w:t>
            </w:r>
          </w:p>
          <w:p w:rsidR="00357238" w:rsidRDefault="00357238" w:rsidP="00357238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 باستراتيجي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 xml:space="preserve">ة </w:t>
            </w:r>
            <w:r w:rsidR="0055357D"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الخرائط الذهنية الالكترونية 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ومهارات تصميمها</w:t>
            </w:r>
          </w:p>
          <w:p w:rsidR="00357238" w:rsidRDefault="00357238" w:rsidP="00357238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 باستراتيجي</w:t>
            </w:r>
            <w:r>
              <w:rPr>
                <w:rFonts w:ascii="Sakkal Majalla" w:eastAsia="Sakkal Majalla" w:hAnsi="Sakkal Majalla" w:cs="Sakkal Majalla" w:hint="eastAsia"/>
                <w:bCs/>
                <w:sz w:val="28"/>
                <w:szCs w:val="28"/>
                <w:rtl/>
              </w:rPr>
              <w:t>ة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55357D"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الويب كويست </w:t>
            </w: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من حيث مفهومها وعناصرها</w:t>
            </w:r>
          </w:p>
          <w:p w:rsidR="0055357D" w:rsidRPr="0055357D" w:rsidRDefault="00357238" w:rsidP="00357238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التعريف باستراتيجية </w:t>
            </w:r>
            <w:r w:rsidR="0055357D"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التعلم المعكوس.</w:t>
            </w:r>
          </w:p>
          <w:p w:rsidR="00960511" w:rsidRPr="00357238" w:rsidRDefault="0055357D" w:rsidP="00AC6461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التعريف </w:t>
            </w:r>
            <w:r w:rsidR="00357238"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باستراتيجي</w:t>
            </w:r>
            <w:r w:rsidR="00357238" w:rsidRPr="0055357D">
              <w:rPr>
                <w:rFonts w:ascii="Sakkal Majalla" w:eastAsia="Sakkal Majalla" w:hAnsi="Sakkal Majalla" w:cs="Sakkal Majalla" w:hint="eastAsia"/>
                <w:bCs/>
                <w:sz w:val="28"/>
                <w:szCs w:val="28"/>
                <w:rtl/>
              </w:rPr>
              <w:t>ة</w:t>
            </w:r>
            <w:r w:rsidRPr="0055357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التلعيب في التعليم.</w:t>
            </w:r>
          </w:p>
          <w:p w:rsidR="00357238" w:rsidRDefault="00357238" w:rsidP="00357238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</w:p>
          <w:p w:rsidR="00357238" w:rsidRPr="00AC6461" w:rsidRDefault="00357238" w:rsidP="00357238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2933A5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E96BED" w:rsidRDefault="0055357D" w:rsidP="0055357D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للتعلم الإلكتروني وفلسفته ومبرراته وخصائصه وأنماطه مزاياه</w:t>
            </w:r>
            <w:r w:rsidRPr="00E96BED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E96BED" w:rsidRDefault="0055357D" w:rsidP="0055357D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قدرة الطلبة على التمييز بين مفهوم الإنترنت والمفاهيم ذات العلاقة به</w:t>
            </w:r>
            <w:r w:rsidRPr="00E96BED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E96BED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E96BED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</w:t>
            </w: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تطبيقات الإنترنت الأساسية </w:t>
            </w:r>
            <w:r w:rsidRPr="00E96BED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واستخداماتها </w:t>
            </w: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في التعليم</w:t>
            </w:r>
            <w:r w:rsidRPr="00E96BED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E96BED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المدونات التعليمية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E96BED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الخرائط الذهنية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E96BED" w:rsidRDefault="0055357D" w:rsidP="0055357D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الرحلات المعرفية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A7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Default="0055357D" w:rsidP="0055357D">
            <w:pPr>
              <w:bidi/>
            </w:pPr>
            <w:r w:rsidRPr="00E96BED">
              <w:rPr>
                <w:rFonts w:ascii="Times New Roman" w:eastAsia="Times New Roman" w:hAnsi="Times New Roman" w:cs="Times New Roman"/>
                <w:rtl/>
                <w:lang w:bidi="ar-JO"/>
              </w:rPr>
              <w:t>معرفة الطلبة مفهوم التلعيب وأهميته وعناصره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6A5290" w:rsidRDefault="0055357D" w:rsidP="0055357D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A5290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Pr="006A5290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توظيف تطبيقات جوجل التفاعلية والحوسبة السحابية في التعليم</w:t>
            </w:r>
            <w:r w:rsidRPr="006A5290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6A5290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A5290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تصميم وإنتاج المدونات التعليمية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Pr="006618C3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6A5290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A5290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تصميم وانتاج الخرائط الذهنية والرحلات المعرفية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6A5290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6A5290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استخدام برنامج التلعيب (</w:t>
            </w:r>
            <w:proofErr w:type="spellStart"/>
            <w:r w:rsidRPr="006A5290">
              <w:rPr>
                <w:rFonts w:ascii="Times New Roman" w:eastAsia="Times New Roman" w:hAnsi="Times New Roman" w:cs="Times New Roman"/>
                <w:rtl/>
                <w:lang w:bidi="ar-JO"/>
              </w:rPr>
              <w:t>الكاهوت</w:t>
            </w:r>
            <w:proofErr w:type="spellEnd"/>
            <w:r w:rsidRPr="006A5290">
              <w:rPr>
                <w:rFonts w:ascii="Times New Roman" w:eastAsia="Times New Roman" w:hAnsi="Times New Roman" w:cs="Times New Roman"/>
                <w:rtl/>
                <w:lang w:bidi="ar-JO"/>
              </w:rPr>
              <w:t>)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952832" w:rsidRDefault="0055357D" w:rsidP="0055357D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952832">
              <w:rPr>
                <w:rFonts w:ascii="Times New Roman" w:eastAsia="Times New Roman" w:hAnsi="Times New Roman" w:cs="Simplified Arabic"/>
                <w:rtl/>
                <w:lang w:bidi="ar-JO"/>
              </w:rPr>
              <w:t>تصميم وإنتاج مدونة تعليمية لوحدة دراسية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952832" w:rsidRDefault="0055357D" w:rsidP="00AC6461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952832">
              <w:rPr>
                <w:rFonts w:ascii="Times New Roman" w:eastAsia="Times New Roman" w:hAnsi="Times New Roman" w:cs="Simplified Arabic"/>
                <w:rtl/>
                <w:lang w:bidi="ar-JO"/>
              </w:rPr>
              <w:t>تصميم وإنتاج خرائط الذهنية ورحلة معرفية لدرس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55357D" w:rsidRDefault="0055357D" w:rsidP="0055357D">
            <w:pPr>
              <w:bidi/>
            </w:pPr>
            <w:r w:rsidRPr="00952832">
              <w:rPr>
                <w:rFonts w:ascii="Times New Roman" w:eastAsia="Times New Roman" w:hAnsi="Times New Roman" w:cs="Simplified Arabic"/>
                <w:rtl/>
                <w:lang w:bidi="ar-JO"/>
              </w:rPr>
              <w:t>تصميم انشطة تفاعلية باستخدام برامج التلعيب (</w:t>
            </w:r>
            <w:proofErr w:type="spellStart"/>
            <w:r w:rsidRPr="00952832">
              <w:rPr>
                <w:rFonts w:ascii="Times New Roman" w:eastAsia="Times New Roman" w:hAnsi="Times New Roman" w:cs="Simplified Arabic"/>
                <w:rtl/>
                <w:lang w:bidi="ar-JO"/>
              </w:rPr>
              <w:t>الكاهوت</w:t>
            </w:r>
            <w:proofErr w:type="spellEnd"/>
            <w:r w:rsidRPr="00952832">
              <w:rPr>
                <w:rFonts w:ascii="Times New Roman" w:eastAsia="Times New Roman" w:hAnsi="Times New Roman" w:cs="Simplified Arabic"/>
                <w:rtl/>
                <w:lang w:bidi="ar-JO"/>
              </w:rPr>
              <w:t>)</w:t>
            </w:r>
          </w:p>
        </w:tc>
      </w:tr>
      <w:tr w:rsidR="0055357D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5357D" w:rsidRDefault="0055357D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55357D" w:rsidRPr="00A24176" w:rsidRDefault="0055357D" w:rsidP="0055357D">
            <w:pPr>
              <w:bidi/>
            </w:pP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1.5 ساعة</w:t>
            </w:r>
          </w:p>
        </w:tc>
        <w:tc>
          <w:tcPr>
            <w:tcW w:w="2904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24 ساعة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18 ساعة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1.5 ساعة</w:t>
            </w:r>
          </w:p>
        </w:tc>
        <w:tc>
          <w:tcPr>
            <w:tcW w:w="2904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24 ساعة</w:t>
            </w:r>
          </w:p>
        </w:tc>
        <w:tc>
          <w:tcPr>
            <w:tcW w:w="1943" w:type="dxa"/>
          </w:tcPr>
          <w:p w:rsidR="00960511" w:rsidRPr="00960511" w:rsidRDefault="00A775F2" w:rsidP="00A775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18 ساعة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</w:tr>
    </w:tbl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128"/>
        <w:gridCol w:w="1133"/>
        <w:gridCol w:w="3544"/>
        <w:gridCol w:w="1700"/>
        <w:gridCol w:w="4538"/>
        <w:gridCol w:w="1133"/>
      </w:tblGrid>
      <w:tr w:rsidR="00797A21" w:rsidRPr="00960511" w:rsidTr="00797A21">
        <w:tc>
          <w:tcPr>
            <w:tcW w:w="42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3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345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645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722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43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797A21" w:rsidRPr="00960511" w:rsidTr="00AC6461">
        <w:trPr>
          <w:trHeight w:val="4822"/>
        </w:trPr>
        <w:tc>
          <w:tcPr>
            <w:tcW w:w="428" w:type="pct"/>
            <w:shd w:val="clear" w:color="auto" w:fill="DBDBDB"/>
          </w:tcPr>
          <w:p w:rsidR="00BD414B" w:rsidRPr="00960511" w:rsidRDefault="00BD414B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30" w:type="pct"/>
          </w:tcPr>
          <w:p w:rsidR="00BD414B" w:rsidRDefault="00BD414B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  <w:p w:rsidR="00BD414B" w:rsidRDefault="00BD414B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BD414B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  <w:p w:rsidR="00AC6461" w:rsidRDefault="00AC646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  <w:p w:rsidR="00AC6461" w:rsidRDefault="00AC646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C150E1" w:rsidRDefault="00C150E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  <w:p w:rsidR="00BD414B" w:rsidRDefault="00AC646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  <w:p w:rsidR="00AC6461" w:rsidRDefault="00AC646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  <w:p w:rsidR="00AC6461" w:rsidRPr="002933A5" w:rsidRDefault="00AC6461" w:rsidP="00AC646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A7</w:t>
            </w:r>
          </w:p>
        </w:tc>
        <w:tc>
          <w:tcPr>
            <w:tcW w:w="1345" w:type="pct"/>
            <w:vAlign w:val="center"/>
          </w:tcPr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للتعلم الإلكتروني وفلسفته ومبرراته وخصائصه وأنماطه مزاياه.</w:t>
            </w:r>
          </w:p>
          <w:p w:rsid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قدرة الطلبة على التمييز بين مفهوم الإنترنت والمفاهيم ذات العلاقة به.</w:t>
            </w:r>
          </w:p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التعرف على تطبيقات الإنترنت الأساسية واستخداماتها في التعليم.</w:t>
            </w:r>
          </w:p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المدونات التعليمية</w:t>
            </w:r>
          </w:p>
          <w:p w:rsid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</w:p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الخرائط الذهنية</w:t>
            </w:r>
          </w:p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الرحلات المعرفية</w:t>
            </w:r>
          </w:p>
          <w:p w:rsidR="00C150E1" w:rsidRPr="000E0C6C" w:rsidRDefault="00AC6461" w:rsidP="00AC6461">
            <w:pPr>
              <w:tabs>
                <w:tab w:val="left" w:pos="-241"/>
              </w:tabs>
              <w:bidi/>
              <w:spacing w:after="160" w:line="259" w:lineRule="auto"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الطلبة مفهوم التلعيب وأهميته وعناصره</w:t>
            </w:r>
          </w:p>
        </w:tc>
        <w:tc>
          <w:tcPr>
            <w:tcW w:w="645" w:type="pct"/>
          </w:tcPr>
          <w:p w:rsidR="00C150E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414B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A23CD6" w:rsidP="00A23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الامتحان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الأول</w:t>
            </w: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A23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  <w:r w:rsidR="00A23CD6"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الامتحان النهائي</w:t>
            </w:r>
          </w:p>
          <w:p w:rsidR="00A23CD6" w:rsidRDefault="00A23CD6" w:rsidP="00A23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A23CD6" w:rsidRPr="00960511" w:rsidRDefault="00A23CD6" w:rsidP="00A23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722" w:type="pct"/>
          </w:tcPr>
          <w:p w:rsidR="00BD414B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وصف المقرر</w:t>
            </w:r>
          </w:p>
          <w:p w:rsidR="00BD798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أهداف المقرر الأساسية</w:t>
            </w:r>
          </w:p>
          <w:p w:rsidR="00BD798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التسلسل المنطقي في تقديم المعلومة في المقرر.</w:t>
            </w:r>
          </w:p>
          <w:p w:rsidR="00BD798C" w:rsidRPr="00BD798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الحرص على أهمية اكتساب المعلومات الأساسية المرتبطة بالمقرر. </w:t>
            </w:r>
          </w:p>
        </w:tc>
        <w:tc>
          <w:tcPr>
            <w:tcW w:w="430" w:type="pct"/>
          </w:tcPr>
          <w:p w:rsidR="00BD414B" w:rsidRDefault="00BD414B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Pr="00960511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797A21" w:rsidRPr="00960511" w:rsidTr="00797A21">
        <w:tc>
          <w:tcPr>
            <w:tcW w:w="428" w:type="pct"/>
            <w:shd w:val="clear" w:color="auto" w:fill="DBDBDB"/>
          </w:tcPr>
          <w:p w:rsidR="00C150E1" w:rsidRPr="0096051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30" w:type="pct"/>
            <w:vAlign w:val="center"/>
          </w:tcPr>
          <w:p w:rsidR="00C150E1" w:rsidRDefault="00797A21" w:rsidP="00C150E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  <w:p w:rsidR="00797A21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797A21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  <w:p w:rsidR="00797A21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797A21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B3</w:t>
            </w:r>
          </w:p>
          <w:p w:rsidR="00797A21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797A21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B4</w:t>
            </w:r>
          </w:p>
          <w:p w:rsidR="00797A21" w:rsidRPr="006618C3" w:rsidRDefault="00797A21" w:rsidP="00797A21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345" w:type="pct"/>
            <w:vAlign w:val="center"/>
          </w:tcPr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اكتساب الطلبة مهارات توظيف تطبيقات جوجل التفاعلية والحوسبة السحابية في التعليم.</w:t>
            </w:r>
          </w:p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اكتساب الطلبة مهارات تصميم وإنتاج </w:t>
            </w: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المدونات التعليمية</w:t>
            </w:r>
          </w:p>
          <w:p w:rsidR="00AC6461" w:rsidRPr="00AC6461" w:rsidRDefault="00AC6461" w:rsidP="00AC646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اكتساب الطلبة مهارات تصميم وانتاج الخرائط الذهنية والرحلات المعرفية</w:t>
            </w:r>
          </w:p>
          <w:p w:rsidR="00C150E1" w:rsidRPr="006618C3" w:rsidRDefault="00AC6461" w:rsidP="00AC6461">
            <w:pPr>
              <w:tabs>
                <w:tab w:val="left" w:pos="-241"/>
              </w:tabs>
              <w:bidi/>
              <w:spacing w:after="160" w:line="259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اكتساب الطلبة مهارات استخدام برنامج التلعيب (</w:t>
            </w:r>
            <w:proofErr w:type="spellStart"/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الكاهوت</w:t>
            </w:r>
            <w:proofErr w:type="spellEnd"/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645" w:type="pct"/>
          </w:tcPr>
          <w:p w:rsidR="00C150E1" w:rsidRDefault="00A005B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أنشطة صفية</w:t>
            </w:r>
          </w:p>
          <w:p w:rsidR="00797A21" w:rsidRDefault="00797A21" w:rsidP="00797A2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797A21" w:rsidRDefault="00A005BE" w:rsidP="00797A2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أنشطة صفية و</w:t>
            </w:r>
            <w:r w:rsidR="00797A2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:rsidR="00797A21" w:rsidRDefault="00797A21" w:rsidP="00797A2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A005BE" w:rsidRDefault="00A005BE" w:rsidP="00A005B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أنشطة صفية وواجب بيتي</w:t>
            </w:r>
          </w:p>
          <w:p w:rsidR="00797A21" w:rsidRPr="00960511" w:rsidRDefault="00797A21" w:rsidP="00797A2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722" w:type="pct"/>
          </w:tcPr>
          <w:p w:rsidR="008F0F7C" w:rsidRDefault="008F0F7C" w:rsidP="008F0F7C">
            <w:pPr>
              <w:pStyle w:val="a5"/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pStyle w:val="a5"/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Pr="008F0F7C" w:rsidRDefault="008F0F7C" w:rsidP="008F0F7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أهمية امتلاك مهارات استخدام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تطبيقات الإنترنت في التعليم.</w:t>
            </w: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30" w:type="pct"/>
          </w:tcPr>
          <w:p w:rsidR="00C150E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Pr="00960511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97A21" w:rsidRPr="00960511" w:rsidTr="00225250">
        <w:tc>
          <w:tcPr>
            <w:tcW w:w="428" w:type="pct"/>
            <w:tcBorders>
              <w:bottom w:val="single" w:sz="4" w:space="0" w:color="auto"/>
            </w:tcBorders>
            <w:shd w:val="clear" w:color="auto" w:fill="DBDBDB"/>
          </w:tcPr>
          <w:p w:rsidR="00797A21" w:rsidRPr="00960511" w:rsidRDefault="00797A2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الكفايات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F0F7C" w:rsidRDefault="008F0F7C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Pr="00960511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C3</w:t>
            </w:r>
          </w:p>
        </w:tc>
        <w:tc>
          <w:tcPr>
            <w:tcW w:w="1345" w:type="pct"/>
            <w:tcBorders>
              <w:bottom w:val="single" w:sz="4" w:space="0" w:color="auto"/>
            </w:tcBorders>
            <w:vAlign w:val="center"/>
          </w:tcPr>
          <w:p w:rsidR="00AC6461" w:rsidRPr="00AC6461" w:rsidRDefault="00AC6461" w:rsidP="00AC6461">
            <w:pPr>
              <w:pStyle w:val="a5"/>
              <w:numPr>
                <w:ilvl w:val="0"/>
                <w:numId w:val="5"/>
              </w:numPr>
              <w:bidi/>
              <w:spacing w:before="120"/>
              <w:ind w:left="277" w:hanging="180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وإنتاج مدونة تعليمية لوحدة دراسية</w:t>
            </w:r>
          </w:p>
          <w:p w:rsidR="00AC6461" w:rsidRPr="00AC6461" w:rsidRDefault="00AC6461" w:rsidP="00AC6461">
            <w:pPr>
              <w:pStyle w:val="a5"/>
              <w:numPr>
                <w:ilvl w:val="0"/>
                <w:numId w:val="5"/>
              </w:numPr>
              <w:bidi/>
              <w:spacing w:before="120"/>
              <w:ind w:left="277" w:hanging="180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وإنتاج خرائط الذهنية ورحلة معرفية لدرس</w:t>
            </w:r>
          </w:p>
          <w:p w:rsidR="00797A21" w:rsidRPr="008F0F7C" w:rsidRDefault="00AC6461" w:rsidP="00AC6461">
            <w:pPr>
              <w:pStyle w:val="a5"/>
              <w:numPr>
                <w:ilvl w:val="0"/>
                <w:numId w:val="5"/>
              </w:numPr>
              <w:bidi/>
              <w:spacing w:before="120"/>
              <w:ind w:left="277" w:hanging="180"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تصميم انشطة تفاعلية باستخدام برامج التلعيب (</w:t>
            </w:r>
            <w:proofErr w:type="spellStart"/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الكاهوت</w:t>
            </w:r>
            <w:proofErr w:type="spellEnd"/>
            <w:r w:rsidRPr="00AC64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A005BE" w:rsidRDefault="008F0F7C" w:rsidP="00A005B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  <w:r w:rsidR="00A005BE" w:rsidRP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  <w:p w:rsidR="008F0F7C" w:rsidRDefault="00A005BE" w:rsidP="00A005B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</w:p>
          <w:p w:rsidR="00A005BE" w:rsidRPr="00960511" w:rsidRDefault="00A005BE" w:rsidP="00A005B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722" w:type="pct"/>
          </w:tcPr>
          <w:p w:rsidR="00797A21" w:rsidRPr="008F0F7C" w:rsidRDefault="008F0F7C" w:rsidP="00A005BE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اكتساب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المهارات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العملية في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تصميم وإن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تا</w:t>
            </w:r>
            <w:r>
              <w:rPr>
                <w:rFonts w:ascii="Times New Roman" w:eastAsia="Calibri" w:hAnsi="Times New Roman" w:cs="Simplified Arabic" w:hint="eastAsia"/>
                <w:color w:val="000000"/>
                <w:sz w:val="24"/>
                <w:szCs w:val="28"/>
                <w:rtl/>
                <w:lang w:bidi="ar-JO"/>
              </w:rPr>
              <w:t>ج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المحتوى الرقمي التعليمي من خلال برامج وتطبيقات الإنترنت المختلفة مثل المدونات التعليمية والخرائط الذهنية وأنشطة التلعيب التفاعلية.</w:t>
            </w:r>
          </w:p>
        </w:tc>
        <w:tc>
          <w:tcPr>
            <w:tcW w:w="430" w:type="pct"/>
          </w:tcPr>
          <w:p w:rsidR="00797A21" w:rsidRPr="00960511" w:rsidRDefault="008F0F7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5F08"/>
    <w:multiLevelType w:val="hybridMultilevel"/>
    <w:tmpl w:val="C0D2EF50"/>
    <w:lvl w:ilvl="0" w:tplc="0804F7F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2115"/>
    <w:multiLevelType w:val="hybridMultilevel"/>
    <w:tmpl w:val="B3C05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AC7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063F9"/>
    <w:multiLevelType w:val="hybridMultilevel"/>
    <w:tmpl w:val="8D94F76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0B4912"/>
    <w:rsid w:val="000E0C6C"/>
    <w:rsid w:val="001360B8"/>
    <w:rsid w:val="0015233D"/>
    <w:rsid w:val="0017785A"/>
    <w:rsid w:val="00225250"/>
    <w:rsid w:val="002863C9"/>
    <w:rsid w:val="002933A5"/>
    <w:rsid w:val="00357238"/>
    <w:rsid w:val="004A53CA"/>
    <w:rsid w:val="00534DFD"/>
    <w:rsid w:val="0055357D"/>
    <w:rsid w:val="006618C3"/>
    <w:rsid w:val="006F2B15"/>
    <w:rsid w:val="00797A21"/>
    <w:rsid w:val="0080361B"/>
    <w:rsid w:val="008F0F7C"/>
    <w:rsid w:val="00960511"/>
    <w:rsid w:val="00A005BE"/>
    <w:rsid w:val="00A23CD6"/>
    <w:rsid w:val="00A23EB3"/>
    <w:rsid w:val="00A775F2"/>
    <w:rsid w:val="00AC521F"/>
    <w:rsid w:val="00AC6461"/>
    <w:rsid w:val="00B7051D"/>
    <w:rsid w:val="00BD414B"/>
    <w:rsid w:val="00BD798C"/>
    <w:rsid w:val="00C150E1"/>
    <w:rsid w:val="00C1534E"/>
    <w:rsid w:val="00D04C4F"/>
    <w:rsid w:val="00D051CC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7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7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UXCFDSH4Y37E-11-738</_dlc_DocId>
    <_dlc_DocIdUrl xmlns="b417192f-9b40-4b27-a16e-6e0147391471">
      <Url>https://www.mutah.edu.jo/ar/education/_layouts/DocIdRedir.aspx?ID=UXCFDSH4Y37E-11-738</Url>
      <Description>UXCFDSH4Y37E-11-738</Description>
    </_dlc_DocIdUrl>
  </documentManagement>
</p:properties>
</file>

<file path=customXml/itemProps1.xml><?xml version="1.0" encoding="utf-8"?>
<ds:datastoreItem xmlns:ds="http://schemas.openxmlformats.org/officeDocument/2006/customXml" ds:itemID="{18FDD78B-6CF5-4C61-8079-90B9EB63AE57}"/>
</file>

<file path=customXml/itemProps2.xml><?xml version="1.0" encoding="utf-8"?>
<ds:datastoreItem xmlns:ds="http://schemas.openxmlformats.org/officeDocument/2006/customXml" ds:itemID="{47C2B02C-110E-40FF-817B-AADE5127300B}"/>
</file>

<file path=customXml/itemProps3.xml><?xml version="1.0" encoding="utf-8"?>
<ds:datastoreItem xmlns:ds="http://schemas.openxmlformats.org/officeDocument/2006/customXml" ds:itemID="{F39AC897-CAB5-4D8D-BA81-551E46D9B919}"/>
</file>

<file path=customXml/itemProps4.xml><?xml version="1.0" encoding="utf-8"?>
<ds:datastoreItem xmlns:ds="http://schemas.openxmlformats.org/officeDocument/2006/customXml" ds:itemID="{E8E787CF-5FE3-4098-B820-20200D83B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16</cp:revision>
  <cp:lastPrinted>2023-02-01T05:51:00Z</cp:lastPrinted>
  <dcterms:created xsi:type="dcterms:W3CDTF">2023-02-01T05:58:00Z</dcterms:created>
  <dcterms:modified xsi:type="dcterms:W3CDTF">2025-01-06T19:43:00Z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7cc39eb2-dccc-4ad0-977d-c1c6a2281aff</vt:lpwstr>
  </property>
</Properties>
</file>