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D8563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794"/>
        <w:gridCol w:w="2348"/>
        <w:gridCol w:w="1367"/>
        <w:gridCol w:w="1220"/>
        <w:gridCol w:w="187"/>
        <w:gridCol w:w="1429"/>
        <w:gridCol w:w="277"/>
        <w:gridCol w:w="1120"/>
      </w:tblGrid>
      <w:tr w:rsidR="008C0140" w:rsidRPr="008C0140" w14:paraId="676A78F9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B5301E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1A7DCE92" w14:textId="67410F8B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14:paraId="1C76C616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AAFE2A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4897776A" w14:textId="43717875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5CCE77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50D87E6C" w14:textId="7B7D63EF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التاسع </w:t>
            </w:r>
          </w:p>
        </w:tc>
      </w:tr>
      <w:tr w:rsidR="008C0140" w:rsidRPr="00263393" w14:paraId="3EBCF83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399ED1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32986EA" w14:textId="7EA8712E" w:rsidR="008C0140" w:rsidRPr="008C0140" w:rsidRDefault="00925952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الارشاد واعادة التاهيل </w:t>
            </w:r>
            <w:r w:rsidR="00253DB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للافراد ذوي الحاجات الخاصة </w:t>
            </w:r>
            <w:r w:rsidR="001E030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واسرهم </w:t>
            </w:r>
            <w:r w:rsidR="0078243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  <w:r w:rsidR="006C7CE5" w:rsidRPr="006C7CE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B2986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431F0DEE" w14:textId="1A65E702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08067</w:t>
            </w:r>
            <w:r w:rsidR="00FA31E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9</w:t>
            </w:r>
            <w:r w:rsidR="0078243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96640D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02D19E92" w14:textId="0A862547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8C0140" w:rsidRPr="00263393" w14:paraId="791C9943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728A4FA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3F1DF6E8" w14:textId="5750C319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B96024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44E1B854" w14:textId="525963C8"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2694F4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3D1210D5" w14:textId="10E45E41"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640956C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930900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371263F0" w14:textId="25F1CF95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r w:rsidR="00FA31EA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A71414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عوني شاهين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790D0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69A11757" w14:textId="48B55880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11156D24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5553A30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04A32CDA" w14:textId="3B742839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أعضاء الهيئة التدريسية في تخصص التربية الخاصة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2FC55B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57192B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06C872B5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E08CA9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32507B10" w14:textId="7237E32D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48DF2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4AA4718" w14:textId="36597F67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جامعة مؤتة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737662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FBBE838" w14:textId="1B6711EA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2C601042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52E52C5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3CE40F34" w14:textId="5C27032A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4281DC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20C0821" w14:textId="58C809F2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</w:t>
            </w:r>
            <w:r w:rsidR="00A71414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8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/12/2024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2A0BE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BC62AAD" w14:textId="2D7EE574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14:paraId="7C5C839F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DB9F1FE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04326E31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76AD96E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01856CDA" w14:textId="117E058D" w:rsidR="008C0140" w:rsidRPr="00873ED3" w:rsidRDefault="007D0C98" w:rsidP="0056264C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تتضمن هذه الماجدة </w:t>
            </w:r>
            <w:r w:rsidR="00716CF8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تعريف الطلبة بالمفاهيم والمصطلحات الارشادية </w:t>
            </w:r>
            <w:r w:rsidR="00A16707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ذات العلاقة بفئات التربية الخاصة </w:t>
            </w:r>
            <w:r w:rsidR="008A7927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من ذوي </w:t>
            </w:r>
            <w:r w:rsidR="00764970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الاعاقات العقلية والسمعية </w:t>
            </w:r>
            <w:r w:rsidR="006338DA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والبصزية والحركية والانفعالية </w:t>
            </w:r>
            <w:r w:rsidR="003C67DA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وكذلك الموهوبين وتتضمن المادة اساليب التكافل الاسري </w:t>
            </w:r>
            <w:r w:rsidR="001732F2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والنفسي من جميع المستويات . والتعريف </w:t>
            </w:r>
            <w:r w:rsidR="00124AB2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بانواع المهن الملائمة لذوي الاحتياجات</w:t>
            </w:r>
            <w:r w:rsidR="00452806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 ال</w:t>
            </w:r>
            <w:r w:rsidR="009A3234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خاصة </w:t>
            </w:r>
            <w:r w:rsidR="00B24B57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حسب حاجته وحالته </w:t>
            </w:r>
            <w:r w:rsidR="00E46B89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كالمهن المناسبة لذوي الاعاقات </w:t>
            </w:r>
            <w:r w:rsidR="002D3310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السمعية او البصرية او اللغوية او المركبة من اكثر من اعاقة </w:t>
            </w:r>
            <w:r w:rsidR="00952BBE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. والتدريب اللازم لتاهيلهم </w:t>
            </w:r>
            <w:r w:rsidR="00F34030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واساليبه والعوامل الم</w:t>
            </w:r>
            <w:r w:rsidR="005B0E69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ؤثرة في تكيف ذوي الحاجات الخاصة </w:t>
            </w:r>
            <w:r w:rsidR="003B1FAD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لل</w:t>
            </w:r>
            <w:r w:rsidR="00714341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للعمل في مهنة ما </w:t>
            </w:r>
            <w:r w:rsidR="001E30AD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وعلاقاتهم بالعاملين معهم وبمسؤولي العمل </w:t>
            </w:r>
            <w:r w:rsidR="00FF1576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وتطبيق الاختبارات للتاكد من مدى احتمال </w:t>
            </w:r>
            <w:r w:rsidR="005517DE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النجاح في المهنة .</w:t>
            </w:r>
            <w:r w:rsidR="00124AB2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8C0140" w:rsidRPr="008C0140" w14:paraId="67E756ED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C83D09F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73ED3" w14:paraId="33BF4BB4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462D347" w14:textId="772B0E56" w:rsidR="00BF543C" w:rsidRPr="004420A3" w:rsidRDefault="00BF543C" w:rsidP="00BF543C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76021761" w14:textId="77777777" w:rsidR="00F81CC5" w:rsidRPr="00873ED3" w:rsidRDefault="00F81CC5" w:rsidP="00BF543C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الإعاقات الأكثر انتشارا والأقل انتشارا وخصائصها السلوكية والتعليمية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،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وكذلك الموهوبين وخصائصهم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759CFC08" w14:textId="283B2200" w:rsidR="00F81CC5" w:rsidRDefault="00F81CC5" w:rsidP="00F81CC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طرق وأساليب </w:t>
            </w:r>
            <w:r w:rsidR="006E4D8C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ارشاد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الطلبة ذوي الإعاقة والطلبة المو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هوبين. </w:t>
            </w:r>
          </w:p>
          <w:p w14:paraId="7184374B" w14:textId="2581FFAF" w:rsidR="00F23030" w:rsidRPr="00873ED3" w:rsidRDefault="00A50B48" w:rsidP="00F23030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طرق وأساليب</w:t>
            </w:r>
            <w:r w:rsidR="00826E4F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اعادة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تاهيل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الطلبة ذوي الإعاقة والطلبة المو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هوبين</w:t>
            </w:r>
          </w:p>
          <w:p w14:paraId="3DAF115C" w14:textId="118A28F3" w:rsidR="00873ED3" w:rsidRPr="00873ED3" w:rsidRDefault="00873ED3" w:rsidP="00F81CC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إعداد ا</w:t>
            </w:r>
            <w:r w:rsidR="00826E4F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بر</w:t>
            </w:r>
            <w:r w:rsidR="00465F6A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امج الارشاد واعادة التاهيل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الخاصة بالطلبة ذوي الإعاقة والطلبة 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</w:t>
            </w:r>
          </w:p>
          <w:p w14:paraId="4C878676" w14:textId="61922646" w:rsidR="00873ED3" w:rsidRPr="00873ED3" w:rsidRDefault="00873ED3" w:rsidP="00873ED3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أهم</w:t>
            </w:r>
            <w:r w:rsidR="006F42F8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7E5044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نظريات 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استراتيجيات </w:t>
            </w:r>
            <w:r w:rsidR="007E5044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الارشاد واعادة التاهيل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المستندة إلى البحث العلمي والمستخدمة </w:t>
            </w:r>
            <w:r w:rsidR="007E5044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مع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2378F2B7" w14:textId="53EB7C2E" w:rsidR="00873ED3" w:rsidRPr="00873ED3" w:rsidRDefault="00873ED3" w:rsidP="00873ED3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  <w:r w:rsidR="006F42F8"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أهم</w:t>
            </w:r>
            <w:r w:rsidR="006F42F8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نظريات و</w:t>
            </w:r>
            <w:r w:rsidR="006F42F8"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6F42F8"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استراتيجيات </w:t>
            </w:r>
            <w:r w:rsidR="006F42F8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الارشاد والتوجيه المهني  </w:t>
            </w:r>
            <w:r w:rsidR="006F42F8"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المستندة إلى البحث العلمي والمستخدمة</w:t>
            </w:r>
            <w:r w:rsidR="006F42F8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مع الموهوبين </w:t>
            </w:r>
            <w:r w:rsidR="008B3FA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والمتفوقين </w:t>
            </w:r>
          </w:p>
          <w:p w14:paraId="246AB872" w14:textId="77777777" w:rsidR="00873ED3" w:rsidRDefault="00F81CC5" w:rsidP="00873ED3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أهم القضايا المع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ا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صرة في </w:t>
            </w:r>
            <w:r w:rsidR="006F42F8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ارشاد واعادة تاهيل الافراد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ذوي الإعاقة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 </w:t>
            </w:r>
            <w:r w:rsidR="00BF543C"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  <w:p w14:paraId="30FEA2FB" w14:textId="5F2EA9B0" w:rsidR="008B3FA3" w:rsidRPr="00873ED3" w:rsidRDefault="008B3FA3" w:rsidP="008B3FA3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التعرف على مبادي الارشاد الاس</w:t>
            </w:r>
            <w:r w:rsidR="00F17E4A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ري واساليبه واستراتي</w:t>
            </w:r>
            <w:r w:rsidR="006A16D0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جياته المتبعة مع اسر ذوي الحاجات الخاصة </w:t>
            </w:r>
            <w:r w:rsidR="00C50231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والموهوبين </w:t>
            </w:r>
          </w:p>
        </w:tc>
      </w:tr>
    </w:tbl>
    <w:p w14:paraId="4CC80E09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55" w:type="dxa"/>
        <w:tblLook w:val="04A0" w:firstRow="1" w:lastRow="0" w:firstColumn="1" w:lastColumn="0" w:noHBand="0" w:noVBand="1"/>
      </w:tblPr>
      <w:tblGrid>
        <w:gridCol w:w="9755"/>
      </w:tblGrid>
      <w:tr w:rsidR="00263393" w:rsidRPr="00263393" w14:paraId="75FE4251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31CF3A59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48B1D134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3643236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090C0D8E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66AFC078" w14:textId="29B8594B" w:rsidR="00873ED3" w:rsidRPr="004B27E8" w:rsidRDefault="00873ED3" w:rsidP="00873ED3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الإعاقات وخصائصها السلوكية والتعليمية، وكذلك الموهوبين وخصائصهم. </w:t>
            </w:r>
          </w:p>
          <w:p w14:paraId="7F77AD55" w14:textId="087EC865" w:rsidR="00873ED3" w:rsidRPr="004B27E8" w:rsidRDefault="00873ED3" w:rsidP="00873ED3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طرق وأساليب </w:t>
            </w:r>
            <w:r w:rsidR="00592383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ارشاد واعادة التاهيل</w:t>
            </w:r>
            <w:r w:rsidR="007326A4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592383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الاف</w:t>
            </w:r>
            <w:r w:rsidR="0071220E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راد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ذوي الإعاقة والطلبة الموهوبين. </w:t>
            </w:r>
          </w:p>
          <w:p w14:paraId="2D418BBE" w14:textId="6B52D751" w:rsidR="00873ED3" w:rsidRPr="004B27E8" w:rsidRDefault="00873ED3" w:rsidP="00873ED3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كيفية إعداد </w:t>
            </w:r>
            <w:r w:rsidR="007326A4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البرامج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الخاصة </w:t>
            </w:r>
            <w:r w:rsidR="007326A4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بارشاد واعادة تاهيل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>الطلبة ذوي الإعاقة و</w:t>
            </w:r>
            <w:r w:rsidR="00B45EC3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توجيه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>الطلبة الموهوبين.</w:t>
            </w:r>
          </w:p>
          <w:p w14:paraId="469AC739" w14:textId="66862E3B" w:rsidR="00873ED3" w:rsidRPr="004B27E8" w:rsidRDefault="00873ED3" w:rsidP="004B27E8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>معرفة أهم استراتيجيات ا</w:t>
            </w:r>
            <w:r w:rsidR="0061125D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الازشاد واعادة التاهيل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المستندة إلى البحث العلمي والمستخدمة </w:t>
            </w:r>
            <w:r w:rsidR="0061125D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مع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الطلبة ذوي الإعاقة. </w:t>
            </w:r>
          </w:p>
          <w:p w14:paraId="3AD9AF52" w14:textId="08A27FEC" w:rsidR="00873ED3" w:rsidRPr="004B27E8" w:rsidRDefault="00873ED3" w:rsidP="004B27E8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كيفية </w:t>
            </w:r>
            <w:r w:rsidR="008E212D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اساليب التوجيه المهني ل</w:t>
            </w:r>
            <w:r w:rsidR="008122FE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>لم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وهوبين. </w:t>
            </w:r>
          </w:p>
          <w:p w14:paraId="4A49B75B" w14:textId="77D1AE9F" w:rsidR="004420A3" w:rsidRPr="00263393" w:rsidRDefault="00873ED3" w:rsidP="004B27E8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القضايا المعاصرة في </w:t>
            </w:r>
            <w:r w:rsidR="008122FE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ارشاد واعادة تاهيل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ا</w:t>
            </w:r>
            <w:r w:rsidR="008122FE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الافراد</w:t>
            </w:r>
            <w:r w:rsidR="00C11641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ذوي الإعاقة والموهوبين.   </w:t>
            </w:r>
          </w:p>
        </w:tc>
      </w:tr>
      <w:tr w:rsidR="00263393" w:rsidRPr="00263393" w14:paraId="365688DD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2E70BEDA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2742E4E6" w14:textId="77777777" w:rsidTr="00BE7DF9">
        <w:trPr>
          <w:trHeight w:val="1700"/>
        </w:trPr>
        <w:tc>
          <w:tcPr>
            <w:tcW w:w="9755" w:type="dxa"/>
            <w:shd w:val="clear" w:color="auto" w:fill="auto"/>
            <w:vAlign w:val="center"/>
          </w:tcPr>
          <w:p w14:paraId="2D4861F4" w14:textId="09A6921F" w:rsidR="00845A30" w:rsidRDefault="00263393" w:rsidP="00845A30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845A30">
              <w:rPr>
                <w:rFonts w:ascii="Times New Roman" w:eastAsia="Times New Roman" w:hAnsi="Times New Roman" w:cs="Times New Roman"/>
                <w:rtl/>
              </w:rPr>
              <w:t>مهارة تحليل وتقييم حاجات ا</w:t>
            </w:r>
            <w:r w:rsidR="00C11641">
              <w:rPr>
                <w:rFonts w:ascii="Times New Roman" w:eastAsia="Times New Roman" w:hAnsi="Times New Roman" w:cs="Times New Roman" w:hint="cs"/>
                <w:rtl/>
              </w:rPr>
              <w:t xml:space="preserve">الافراد ذوي الحاجات </w:t>
            </w:r>
            <w:r w:rsidR="002D5693">
              <w:rPr>
                <w:rFonts w:ascii="Times New Roman" w:eastAsia="Times New Roman" w:hAnsi="Times New Roman" w:cs="Times New Roman" w:hint="cs"/>
                <w:rtl/>
              </w:rPr>
              <w:t xml:space="preserve">الخاصة المتعلقة بالازشاد واعادة التاهيل </w:t>
            </w:r>
            <w:r w:rsidR="00845A30">
              <w:rPr>
                <w:rFonts w:ascii="Times New Roman" w:eastAsia="Times New Roman" w:hAnsi="Times New Roman" w:cs="Times New Roman"/>
                <w:rtl/>
              </w:rPr>
              <w:t>باستخدام أساليب التقييم الرسمي وغير الرسم</w:t>
            </w:r>
            <w:r w:rsidR="00845A30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ي. </w:t>
            </w:r>
          </w:p>
          <w:p w14:paraId="617EBFFE" w14:textId="1697F508" w:rsidR="00845A30" w:rsidRDefault="00845A30" w:rsidP="00845A30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مهارة تصميم وتطبيق البرامج ا</w:t>
            </w:r>
            <w:r w:rsidR="006F52AA">
              <w:rPr>
                <w:rFonts w:ascii="Times New Roman" w:eastAsia="Times New Roman" w:hAnsi="Times New Roman" w:cs="Times New Roman" w:hint="cs"/>
                <w:rtl/>
              </w:rPr>
              <w:t xml:space="preserve">الارشادية واعادة التاهيل </w:t>
            </w:r>
            <w:r w:rsidR="001E770F">
              <w:rPr>
                <w:rFonts w:ascii="Times New Roman" w:eastAsia="Times New Roman" w:hAnsi="Times New Roman" w:cs="Times New Roman" w:hint="cs"/>
                <w:rtl/>
              </w:rPr>
              <w:t xml:space="preserve">لتلبية </w:t>
            </w:r>
            <w:r>
              <w:rPr>
                <w:rFonts w:ascii="Times New Roman" w:eastAsia="Times New Roman" w:hAnsi="Times New Roman" w:cs="Times New Roman"/>
                <w:rtl/>
              </w:rPr>
              <w:t>حاجات الطلبة ذوي الإعاقة أو الموهوبين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  <w:p w14:paraId="67C8A94F" w14:textId="69C70A58" w:rsidR="00845A30" w:rsidRDefault="00845A30" w:rsidP="00845A30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استخدام التكنولوجيا المساندة لتسهيل </w:t>
            </w:r>
            <w:r w:rsidR="001E770F">
              <w:rPr>
                <w:rFonts w:ascii="Times New Roman" w:eastAsia="Times New Roman" w:hAnsi="Times New Roman" w:cs="Times New Roman" w:hint="cs"/>
                <w:rtl/>
              </w:rPr>
              <w:t xml:space="preserve">عملية </w:t>
            </w:r>
            <w:r w:rsidR="00EB4783">
              <w:rPr>
                <w:rFonts w:ascii="Times New Roman" w:eastAsia="Times New Roman" w:hAnsi="Times New Roman" w:cs="Times New Roman" w:hint="cs"/>
                <w:rtl/>
              </w:rPr>
              <w:t>الارشاد واعادة ال</w:t>
            </w:r>
            <w:r w:rsidR="008E1470">
              <w:rPr>
                <w:rFonts w:ascii="Times New Roman" w:eastAsia="Times New Roman" w:hAnsi="Times New Roman" w:cs="Times New Roman" w:hint="cs"/>
                <w:rtl/>
              </w:rPr>
              <w:t xml:space="preserve">تاهيل للافزاد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ذوي الإعاقة أو الموهوبين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  <w:p w14:paraId="252CA442" w14:textId="22BA2557" w:rsidR="004420A3" w:rsidRDefault="00845A30" w:rsidP="00845A30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اختيار استراتيجيات </w:t>
            </w:r>
            <w:r w:rsidR="00E27F72">
              <w:rPr>
                <w:rFonts w:ascii="Times New Roman" w:eastAsia="Times New Roman" w:hAnsi="Times New Roman" w:cs="Times New Roman" w:hint="cs"/>
                <w:rtl/>
              </w:rPr>
              <w:t xml:space="preserve">الارشاد التي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تناسب </w:t>
            </w:r>
            <w:r w:rsidR="00D148E8">
              <w:rPr>
                <w:rFonts w:ascii="Times New Roman" w:eastAsia="Times New Roman" w:hAnsi="Times New Roman" w:cs="Times New Roman" w:hint="cs"/>
                <w:rtl/>
              </w:rPr>
              <w:t>الافراد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ذوي الإعاقة أو الموهوبين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  <w:p w14:paraId="71374992" w14:textId="77777777" w:rsidR="009B2BEC" w:rsidRDefault="009B2BEC" w:rsidP="00D148E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اختيار استراتيجيات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ااعادة التاهيل التي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تناسب ا</w:t>
            </w:r>
            <w:r w:rsidR="00D148E8">
              <w:rPr>
                <w:rFonts w:ascii="Times New Roman" w:eastAsia="Times New Roman" w:hAnsi="Times New Roman" w:cs="Times New Roman" w:hint="cs"/>
                <w:rtl/>
              </w:rPr>
              <w:t xml:space="preserve">الافراد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ذوي الإعاقة </w:t>
            </w:r>
          </w:p>
          <w:p w14:paraId="4F2A5D1C" w14:textId="6BB41719" w:rsidR="00BE7DF9" w:rsidRPr="00845A30" w:rsidRDefault="00BE7DF9" w:rsidP="00D56E44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اختيار استراتيجيات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التوجيه المناسب </w:t>
            </w:r>
            <w:r w:rsidR="00D56E44">
              <w:rPr>
                <w:rFonts w:ascii="Times New Roman" w:eastAsia="Times New Roman" w:hAnsi="Times New Roman" w:cs="Times New Roman" w:hint="cs"/>
                <w:rtl/>
              </w:rPr>
              <w:t xml:space="preserve">للموهوبين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</w:p>
        </w:tc>
      </w:tr>
      <w:tr w:rsidR="00263393" w:rsidRPr="00263393" w14:paraId="4F1DB40D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4C540A58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4A62C4F2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7F5C7ACA" w14:textId="15950C08" w:rsidR="004420A3" w:rsidRPr="00845A30" w:rsidRDefault="00845A30" w:rsidP="0044617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القدرة على استخدام </w:t>
            </w:r>
            <w:r w:rsidR="00A200D3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وتصميم </w:t>
            </w:r>
            <w:r w:rsidR="00937652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برامج </w:t>
            </w:r>
            <w:r w:rsidR="00A200D3">
              <w:rPr>
                <w:rFonts w:ascii="Times New Roman" w:eastAsia="Times New Roman" w:hAnsi="Times New Roman" w:cs="Times New Roman" w:hint="cs"/>
                <w:rtl/>
                <w:lang w:bidi="ar-JO"/>
              </w:rPr>
              <w:t>و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استراتيجيات </w:t>
            </w:r>
            <w:r w:rsidR="00937652">
              <w:rPr>
                <w:rFonts w:ascii="Times New Roman" w:eastAsia="Times New Roman" w:hAnsi="Times New Roman" w:cs="Times New Roman" w:hint="cs"/>
                <w:rtl/>
              </w:rPr>
              <w:t xml:space="preserve">ارشاد واعادة تاهيل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مرنة ومعدلة لتمكين الطلبة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ذوي </w:t>
            </w:r>
            <w:r>
              <w:rPr>
                <w:rFonts w:ascii="Times New Roman" w:eastAsia="Times New Roman" w:hAnsi="Times New Roman" w:cs="Times New Roman"/>
                <w:rtl/>
              </w:rPr>
              <w:t>الإعاقة أو الموهوبين من تحقيق النجاح الأكاديمي والسلوك</w:t>
            </w:r>
            <w:r>
              <w:rPr>
                <w:rFonts w:ascii="Times New Roman" w:eastAsia="Times New Roman" w:hAnsi="Times New Roman" w:cs="Times New Roman" w:hint="cs"/>
                <w:rtl/>
              </w:rPr>
              <w:t>ي.</w:t>
            </w:r>
          </w:p>
          <w:p w14:paraId="78AAC55F" w14:textId="3C5B3A52" w:rsidR="00845A30" w:rsidRPr="00845A30" w:rsidRDefault="00845A30" w:rsidP="00845A30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أدوات التقييم المختلفة </w:t>
            </w:r>
            <w:r w:rsidR="002450CC">
              <w:rPr>
                <w:rFonts w:ascii="Times New Roman" w:eastAsia="Times New Roman" w:hAnsi="Times New Roman" w:cs="Times New Roman" w:hint="cs"/>
                <w:rtl/>
              </w:rPr>
              <w:t xml:space="preserve">في الارشاد واعادة التاهيل 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>لتحديد حاجات الطلبة ذوي الإعاقة أو الموهوبين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>و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اختيار استراتيجيات </w:t>
            </w:r>
            <w:r w:rsidR="000E4C8A">
              <w:rPr>
                <w:rFonts w:ascii="Times New Roman" w:eastAsia="Times New Roman" w:hAnsi="Times New Roman" w:cs="Times New Roman" w:hint="cs"/>
                <w:rtl/>
              </w:rPr>
              <w:t xml:space="preserve">ارشاد واعادة تاهيل </w:t>
            </w:r>
            <w:r w:rsidR="00966849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حديثة ومدعومة بالأبحاث العلمية لتلبية حاجات </w:t>
            </w:r>
            <w:r w:rsidR="00966849">
              <w:rPr>
                <w:rFonts w:ascii="Times New Roman" w:eastAsia="Times New Roman" w:hAnsi="Times New Roman" w:cs="Times New Roman" w:hint="cs"/>
                <w:rtl/>
              </w:rPr>
              <w:t xml:space="preserve">الافزاد ذوي الحاجات الخاصة 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>المتنوعة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  <w:tr w:rsidR="00263393" w:rsidRPr="00263393" w14:paraId="57A88717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4A2A666F" w14:textId="77777777" w:rsidR="00263393" w:rsidRPr="00C9151E" w:rsidRDefault="00263393" w:rsidP="00263393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C9151E">
              <w:rPr>
                <w:rFonts w:ascii="Times New Roman" w:eastAsia="Times New Roman" w:hAnsi="Times New Roman" w:cs="Times New Roman" w:hint="cs"/>
                <w:rtl/>
              </w:rPr>
              <w:t>طرق</w:t>
            </w:r>
            <w:r w:rsidRPr="00C9151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C9151E">
              <w:rPr>
                <w:rFonts w:ascii="Times New Roman" w:eastAsia="Times New Roman" w:hAnsi="Times New Roman" w:cs="Times New Roman" w:hint="cs"/>
                <w:rtl/>
              </w:rPr>
              <w:t>التعليم</w:t>
            </w:r>
            <w:r w:rsidRPr="00C9151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C9151E">
              <w:rPr>
                <w:rFonts w:ascii="Times New Roman" w:eastAsia="Times New Roman" w:hAnsi="Times New Roman" w:cs="Times New Roman" w:hint="cs"/>
                <w:rtl/>
              </w:rPr>
              <w:t>والتعلم</w:t>
            </w:r>
          </w:p>
        </w:tc>
      </w:tr>
      <w:tr w:rsidR="00263393" w:rsidRPr="00263393" w14:paraId="55391455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1BF936F7" w14:textId="77777777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المحاضرة والمناقشات الصفية. </w:t>
            </w:r>
          </w:p>
          <w:p w14:paraId="50662B86" w14:textId="77777777" w:rsidR="00263393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عرض أحد موضوعات المقرر أمام الطلبة.  </w:t>
            </w:r>
          </w:p>
          <w:p w14:paraId="75D19E9F" w14:textId="77777777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ترجمة وتحليل الأدبيات ذات العلاقة بموضوعات المقرر. </w:t>
            </w:r>
          </w:p>
          <w:p w14:paraId="7753643B" w14:textId="2AE02FAB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تصميم </w:t>
            </w:r>
            <w:r w:rsidR="00966849">
              <w:rPr>
                <w:rFonts w:hint="cs"/>
                <w:sz w:val="22"/>
                <w:szCs w:val="22"/>
                <w:rtl/>
                <w:lang w:bidi="ar-SA"/>
              </w:rPr>
              <w:t>ب</w:t>
            </w:r>
            <w:r w:rsidR="00386FE4">
              <w:rPr>
                <w:rFonts w:hint="cs"/>
                <w:sz w:val="22"/>
                <w:szCs w:val="22"/>
                <w:rtl/>
                <w:lang w:bidi="ar-SA"/>
              </w:rPr>
              <w:t xml:space="preserve">رنامج ارشاد واعادة تاهيل </w:t>
            </w: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845A30">
              <w:rPr>
                <w:rFonts w:hint="cs"/>
                <w:sz w:val="22"/>
                <w:szCs w:val="22"/>
                <w:rtl/>
                <w:lang w:bidi="ar-SA"/>
              </w:rPr>
              <w:t xml:space="preserve">لأحدى فئات التربية الخاصة. </w:t>
            </w:r>
            <w:r w:rsidR="00120FD2"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  </w:t>
            </w:r>
          </w:p>
        </w:tc>
      </w:tr>
      <w:tr w:rsidR="00263393" w:rsidRPr="00263393" w14:paraId="3B0182DC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09CDE61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14:paraId="3509E004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3EFAE48C" w14:textId="5EC5E798" w:rsidR="00446179" w:rsidRP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منتصف الفصل (30)% . </w:t>
            </w:r>
          </w:p>
          <w:p w14:paraId="3EFE9D5E" w14:textId="69529845"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واجبات صفية (30)%.  </w:t>
            </w:r>
          </w:p>
          <w:p w14:paraId="2029C0F2" w14:textId="77777777"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نهاية الفصل (40)%. </w:t>
            </w:r>
          </w:p>
          <w:p w14:paraId="4405FEB9" w14:textId="0B5D5EE6" w:rsidR="00446179" w:rsidRPr="00446179" w:rsidRDefault="00446179" w:rsidP="00446179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المجموع 100%</w:t>
            </w:r>
          </w:p>
        </w:tc>
      </w:tr>
    </w:tbl>
    <w:tbl>
      <w:tblPr>
        <w:tblStyle w:val="TableGrid2"/>
        <w:bidiVisual/>
        <w:tblW w:w="978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10"/>
      </w:tblGrid>
      <w:tr w:rsidR="00C26319" w:rsidRPr="00910CF9" w14:paraId="7B564B20" w14:textId="77777777" w:rsidTr="00120FD2">
        <w:trPr>
          <w:trHeight w:val="397"/>
        </w:trPr>
        <w:tc>
          <w:tcPr>
            <w:tcW w:w="9785" w:type="dxa"/>
            <w:gridSpan w:val="6"/>
            <w:shd w:val="clear" w:color="auto" w:fill="D9D9D9" w:themeFill="background1" w:themeFillShade="D9"/>
            <w:vAlign w:val="center"/>
          </w:tcPr>
          <w:p w14:paraId="56E3C701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048FFABC" w14:textId="77777777" w:rsidTr="00120FD2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88CFBB1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13A092E4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22FE349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2F32AC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B7D170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1EAB789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14:paraId="4E0795C5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92AA5B" w14:textId="77777777" w:rsidR="00C26319" w:rsidRPr="00120FD2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F9E3767" w14:textId="180E5514" w:rsidR="00C26319" w:rsidRPr="00120FD2" w:rsidRDefault="00446179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3C05C29" w14:textId="526D81C3" w:rsidR="00C26319" w:rsidRPr="00120FD2" w:rsidRDefault="00C9151E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259C608C" w14:textId="6E62070A" w:rsidR="00C26319" w:rsidRPr="00120FD2" w:rsidRDefault="00306155" w:rsidP="00120FD2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الإعاقات وخصائ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صها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التعليمية والسلوكية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، و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أهم </w:t>
            </w:r>
            <w:r w:rsidR="005A78D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الحاجات </w:t>
            </w:r>
            <w:r w:rsidR="005543C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المتعلقة بازشادهم وارشاد اسرهم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E005E" w14:textId="53A8A66F" w:rsidR="009F5586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4C17CFA0" w14:textId="36B14AC4" w:rsidR="00120FD2" w:rsidRPr="00120FD2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7B30918E" w14:textId="503BCCAC"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AED115" w14:textId="77777777"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6CCCD5A0" w14:textId="77777777" w:rsidR="00120FD2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114CE55B" w14:textId="329E06FE" w:rsidR="00120FD2" w:rsidRPr="0026349C" w:rsidRDefault="00120FD2" w:rsidP="00120FD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0136E" w:rsidRPr="00910CF9" w14:paraId="7E83EA08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4098BDF" w14:textId="57004762" w:rsidR="00A0136E" w:rsidRPr="0026349C" w:rsidRDefault="00A0136E" w:rsidP="00A0136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.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47B3AA" w14:textId="726B24C8"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2C46FCD" w14:textId="641F3579" w:rsidR="00A0136E" w:rsidRPr="00C9151E" w:rsidRDefault="00C9151E" w:rsidP="00A0136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151E"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5501ECA7" w14:textId="2978D18C" w:rsidR="00A0136E" w:rsidRPr="0026349C" w:rsidRDefault="0053485F" w:rsidP="00A0136E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الحاجات المتعلقة باعادة التاهيل </w:t>
            </w:r>
            <w:r w:rsidR="00544EA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والتاهيل المهني للاشخاص ذوي الاعاقة </w:t>
            </w:r>
            <w:r w:rsidR="0030615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FF2172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واساليب تقييمها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A9375C" w14:textId="5A6164F8" w:rsidR="00A0136E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ية،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2FBD6A56" w14:textId="77777777" w:rsidR="00A0136E" w:rsidRPr="00120FD2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45E0B30F" w14:textId="10A53BA3" w:rsidR="00A0136E" w:rsidRPr="0026349C" w:rsidRDefault="00A0136E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EDA040" w14:textId="77777777"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 xml:space="preserve">-امتحان منتصف الفصل. </w:t>
            </w:r>
          </w:p>
          <w:p w14:paraId="10298E65" w14:textId="77777777"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84231F8" w14:textId="254875AF"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11250" w:rsidRPr="00910CF9" w14:paraId="28A39E29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5B6272D" w14:textId="03D373FF" w:rsidR="00A11250" w:rsidRPr="0026349C" w:rsidRDefault="00A11250" w:rsidP="00A1125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8099CF9" w14:textId="6ECEC459" w:rsidR="00A11250" w:rsidRPr="0026349C" w:rsidRDefault="00A11250" w:rsidP="00A112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3D7DC12" w14:textId="0CF60871" w:rsidR="00A11250" w:rsidRPr="00C9151E" w:rsidRDefault="00C9151E" w:rsidP="00A1125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C9151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B224954" w14:textId="1318B345" w:rsidR="00A11250" w:rsidRPr="00A11250" w:rsidRDefault="00306155" w:rsidP="00A11250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الموهبة والتفوق وخصائصها التعليمية والسلوكية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والاعتبارات في </w:t>
            </w:r>
            <w:r w:rsidR="0019521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التوجيه المهني </w:t>
            </w:r>
            <w:r w:rsidR="00CF22B8">
              <w:rPr>
                <w:rFonts w:asciiTheme="majorBidi" w:hAnsiTheme="majorBidi" w:cstheme="majorBidi" w:hint="cs"/>
                <w:sz w:val="20"/>
                <w:szCs w:val="20"/>
                <w:rtl/>
              </w:rPr>
              <w:t>ل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لموهوبين والمتفوقين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. </w:t>
            </w:r>
            <w:r w:rsidR="00A11250" w:rsidRPr="00A1125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796F3" w14:textId="38B156B5" w:rsidR="00A11250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AA6C590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3D63C421" w14:textId="2AF6049F"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1C2366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4186DF83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3767EAB3" w14:textId="79566E54"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DC5DD3" w:rsidRPr="00910CF9" w14:paraId="4CAF45A3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7F74929" w14:textId="77777777" w:rsidR="00DC5DD3" w:rsidRPr="0026349C" w:rsidRDefault="00DC5DD3" w:rsidP="00DC5D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4BE818F" w14:textId="41D383C7" w:rsidR="00DC5DD3" w:rsidRPr="0026349C" w:rsidRDefault="00DC5DD3" w:rsidP="00DC5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7D38B9" w14:textId="15116575" w:rsidR="00DC5DD3" w:rsidRPr="00DC5DD3" w:rsidRDefault="00B244FF" w:rsidP="00DC5DD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C9151E">
              <w:rPr>
                <w:rFonts w:asciiTheme="majorBidi" w:hAnsiTheme="majorBidi" w:cstheme="majorBidi"/>
                <w:sz w:val="20"/>
                <w:szCs w:val="20"/>
              </w:rPr>
              <w:t>2, b1, c2</w:t>
            </w:r>
          </w:p>
        </w:tc>
        <w:tc>
          <w:tcPr>
            <w:tcW w:w="3402" w:type="dxa"/>
            <w:shd w:val="clear" w:color="auto" w:fill="auto"/>
          </w:tcPr>
          <w:p w14:paraId="7DF5C8A7" w14:textId="72BB59A5" w:rsidR="00DC5DD3" w:rsidRPr="00DC5DD3" w:rsidRDefault="00584DCA" w:rsidP="00DC5DD3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تقييم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حاجات ا</w:t>
            </w:r>
            <w:r w:rsidR="00CF22B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لافراد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ذوي الإعاقة والموهوبين</w:t>
            </w:r>
            <w:r w:rsidR="00CF22B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3B458E">
              <w:rPr>
                <w:rFonts w:asciiTheme="majorBidi" w:hAnsiTheme="majorBidi" w:cstheme="majorBidi" w:hint="cs"/>
                <w:sz w:val="20"/>
                <w:szCs w:val="20"/>
                <w:rtl/>
              </w:rPr>
              <w:t>واس</w:t>
            </w:r>
            <w:r w:rsidR="00523C5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رهم </w:t>
            </w:r>
            <w:r w:rsidR="00CF22B8">
              <w:rPr>
                <w:rFonts w:asciiTheme="majorBidi" w:hAnsiTheme="majorBidi" w:cstheme="majorBidi" w:hint="cs"/>
                <w:sz w:val="20"/>
                <w:szCs w:val="20"/>
                <w:rtl/>
              </w:rPr>
              <w:t>بخص</w:t>
            </w:r>
            <w:r w:rsidR="00ED1644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وص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</w:t>
            </w:r>
            <w:r w:rsidR="00ED1644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الارشاد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النفسي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0E7D3" w14:textId="42809A8C" w:rsidR="00DC5DD3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15DA48BF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591F9864" w14:textId="7225789D"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9105D7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3099C4AD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2C26198F" w14:textId="161AE3D6"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84588B" w:rsidRPr="00910CF9" w14:paraId="670966BC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B0F4B03" w14:textId="4B86ABB6" w:rsidR="0084588B" w:rsidRPr="0026349C" w:rsidRDefault="00584DCA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5-6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4BDB943" w14:textId="171AC97E" w:rsidR="0084588B" w:rsidRPr="0026349C" w:rsidRDefault="0084588B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D790CE4" w14:textId="37891035" w:rsidR="0084588B" w:rsidRPr="0026349C" w:rsidRDefault="00A612B9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A200D3" w:rsidRPr="00A612B9">
              <w:rPr>
                <w:rFonts w:asciiTheme="majorBidi" w:hAnsiTheme="majorBidi" w:cstheme="majorBidi"/>
                <w:sz w:val="20"/>
                <w:szCs w:val="20"/>
              </w:rPr>
              <w:t>3, b2, c1</w:t>
            </w:r>
            <w:r w:rsidR="00A20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7F06098" w14:textId="3AE02C63" w:rsidR="0084588B" w:rsidRPr="0084588B" w:rsidRDefault="00584DCA" w:rsidP="0084588B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إعداد وتصميم </w:t>
            </w:r>
            <w:r w:rsidR="00A1327A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البرامج الا</w:t>
            </w:r>
            <w:r w:rsidR="00BD78EC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رشادية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لفئات التربية الخاصة </w:t>
            </w:r>
            <w:r w:rsidR="00BD78EC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واسرهم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D743D6" w14:textId="197B3C6F" w:rsidR="009F5586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14:paraId="09E876EE" w14:textId="67E8BE3E" w:rsidR="0084588B" w:rsidRPr="00120FD2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1BB671ED" w14:textId="362732F2"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DA4762" w14:textId="77777777"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08F1296F" w14:textId="77777777"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413D483F" w14:textId="26CF4EF5"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584DCA" w:rsidRPr="00910CF9" w14:paraId="0D918547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2BA43BB" w14:textId="5357B51D" w:rsidR="00584DCA" w:rsidRDefault="00584DCA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EC543BC" w14:textId="77777777" w:rsidR="00584DCA" w:rsidRDefault="00584DCA" w:rsidP="00584DC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0C4653B" w14:textId="77777777" w:rsidR="00584DCA" w:rsidRPr="0026349C" w:rsidRDefault="00584DCA" w:rsidP="00584DC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96C4B6C" w14:textId="571E87F6" w:rsidR="00584DCA" w:rsidRDefault="00584DCA" w:rsidP="00584DCA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امتحان منتصف الفصل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96308D" w14:textId="4952B9E4" w:rsidR="00584DCA" w:rsidRPr="00120FD2" w:rsidRDefault="00584DCA" w:rsidP="00584DCA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D146B0" w14:textId="05B22B49" w:rsidR="00584DCA" w:rsidRPr="00120FD2" w:rsidRDefault="00584DCA" w:rsidP="00584DCA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</w:rPr>
              <w:t>امتحان منتصف الفصل</w:t>
            </w:r>
          </w:p>
        </w:tc>
      </w:tr>
      <w:tr w:rsidR="003B0697" w:rsidRPr="00910CF9" w14:paraId="7BF2C055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EB72FEF" w14:textId="7B41EB72" w:rsidR="003B0697" w:rsidRPr="0026349C" w:rsidRDefault="00584DCA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8-</w:t>
            </w:r>
            <w:r w:rsidR="00CF79B9"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B6C469" w14:textId="626435B8" w:rsidR="003B0697" w:rsidRPr="0026349C" w:rsidRDefault="003B0697" w:rsidP="003B06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99A8DD" w14:textId="12FE25D5" w:rsidR="003B0697" w:rsidRPr="00A612B9" w:rsidRDefault="00A612B9" w:rsidP="003B069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A612B9">
              <w:rPr>
                <w:rFonts w:asciiTheme="majorBidi" w:hAnsiTheme="majorBidi" w:cstheme="majorBidi"/>
                <w:sz w:val="20"/>
                <w:szCs w:val="20"/>
              </w:rPr>
              <w:t>4, a5, b3, b4, c1, c2</w:t>
            </w:r>
          </w:p>
        </w:tc>
        <w:tc>
          <w:tcPr>
            <w:tcW w:w="3402" w:type="dxa"/>
            <w:shd w:val="clear" w:color="auto" w:fill="auto"/>
          </w:tcPr>
          <w:p w14:paraId="0BF01362" w14:textId="1EF8AFE0" w:rsidR="003B0697" w:rsidRPr="0026349C" w:rsidRDefault="00584DCA" w:rsidP="003B0697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استراتيجيات </w:t>
            </w:r>
            <w:r w:rsidR="00BD78EC">
              <w:rPr>
                <w:rFonts w:asciiTheme="majorBidi" w:hAnsiTheme="majorBidi" w:cstheme="majorBidi" w:hint="cs"/>
                <w:sz w:val="20"/>
                <w:szCs w:val="20"/>
                <w:rtl/>
              </w:rPr>
              <w:t>اع</w:t>
            </w:r>
            <w:r w:rsidR="00010236">
              <w:rPr>
                <w:rFonts w:asciiTheme="majorBidi" w:hAnsiTheme="majorBidi" w:cstheme="majorBidi" w:hint="cs"/>
                <w:sz w:val="20"/>
                <w:szCs w:val="20"/>
                <w:rtl/>
              </w:rPr>
              <w:t>ا</w:t>
            </w:r>
            <w:r w:rsidR="00BD78EC">
              <w:rPr>
                <w:rFonts w:asciiTheme="majorBidi" w:hAnsiTheme="majorBidi" w:cstheme="majorBidi" w:hint="cs"/>
                <w:sz w:val="20"/>
                <w:szCs w:val="20"/>
                <w:rtl/>
              </w:rPr>
              <w:t>دة التاهيل</w:t>
            </w:r>
            <w:r w:rsidR="009E6BF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والتاهيل المهني</w:t>
            </w:r>
            <w:r w:rsidR="00DB1A7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و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المستندة إلى البحث العلمي والمستخدمة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مع ا</w:t>
            </w:r>
            <w:r w:rsidR="00BD78EC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لافراد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من فئات التربية الخاصة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37972" w14:textId="77777777" w:rsidR="009F5586" w:rsidRDefault="003B0697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12FEA7E7" w14:textId="63127D72" w:rsidR="003B0697" w:rsidRPr="00120FD2" w:rsidRDefault="003B0697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14245C10" w14:textId="4E7BFD71" w:rsidR="003B0697" w:rsidRPr="0026349C" w:rsidRDefault="003B0697" w:rsidP="003B069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B6BE8E" w14:textId="0CBC43C5" w:rsidR="003B0697" w:rsidRPr="00120FD2" w:rsidRDefault="003B0697" w:rsidP="003B0697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A200D3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الامتحان النهائي 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4EB913A5" w14:textId="77777777" w:rsidR="003B0697" w:rsidRPr="00120FD2" w:rsidRDefault="003B0697" w:rsidP="003B0697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1EC93E6" w14:textId="2D33746A" w:rsidR="003B0697" w:rsidRPr="0026349C" w:rsidRDefault="003B0697" w:rsidP="003B069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7823B3" w:rsidRPr="00910CF9" w14:paraId="2E8F3D51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B6CD49C" w14:textId="47890459" w:rsidR="007823B3" w:rsidRPr="0026349C" w:rsidRDefault="00CF79B9" w:rsidP="00CF79B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92527F5" w14:textId="723CFFFE" w:rsidR="007823B3" w:rsidRPr="0026349C" w:rsidRDefault="007823B3" w:rsidP="00782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17AC030" w14:textId="5D1A8A7B" w:rsidR="007823B3" w:rsidRPr="0026349C" w:rsidRDefault="003E53DE" w:rsidP="00782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3E53DE">
              <w:rPr>
                <w:rFonts w:asciiTheme="majorBidi" w:hAnsiTheme="majorBidi" w:cstheme="majorBidi"/>
                <w:sz w:val="20"/>
                <w:szCs w:val="20"/>
              </w:rPr>
              <w:t>5, b2, b3, c1, c2</w:t>
            </w:r>
          </w:p>
        </w:tc>
        <w:tc>
          <w:tcPr>
            <w:tcW w:w="3402" w:type="dxa"/>
            <w:shd w:val="clear" w:color="auto" w:fill="auto"/>
          </w:tcPr>
          <w:p w14:paraId="6D2BD7A3" w14:textId="397E2422" w:rsidR="007823B3" w:rsidRPr="0026349C" w:rsidRDefault="00005E66" w:rsidP="007823B3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التوجيه المهني للموهوبين</w:t>
            </w:r>
            <w:r w:rsidR="00584DC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FDD1D7" w14:textId="77777777" w:rsidR="009F5586" w:rsidRDefault="007823B3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666C7F8E" w14:textId="7798E107" w:rsidR="007823B3" w:rsidRPr="00120FD2" w:rsidRDefault="007823B3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45FC7F20" w14:textId="6B665BBA" w:rsidR="007823B3" w:rsidRPr="0026349C" w:rsidRDefault="007823B3" w:rsidP="007823B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B7E939" w14:textId="709C1F88" w:rsidR="00A200D3" w:rsidRDefault="00A200D3" w:rsidP="00A200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-الامتحان النهائي.</w:t>
            </w:r>
          </w:p>
          <w:p w14:paraId="4F826387" w14:textId="30729C38" w:rsidR="007823B3" w:rsidRPr="00120FD2" w:rsidRDefault="00A200D3" w:rsidP="00A200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7823B3"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شرح أحد موضوعات المقرر أمام الطلبة.</w:t>
            </w:r>
          </w:p>
          <w:p w14:paraId="3389A4EE" w14:textId="77777777" w:rsidR="007823B3" w:rsidRDefault="007823B3" w:rsidP="007823B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02A5D2A9" w14:textId="0E66CA06" w:rsidR="00C3140D" w:rsidRPr="0026349C" w:rsidRDefault="00C3140D" w:rsidP="00C3140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-الامتحان النهائي </w:t>
            </w:r>
          </w:p>
        </w:tc>
      </w:tr>
      <w:tr w:rsidR="007D0790" w:rsidRPr="00910CF9" w14:paraId="4CAC9A7E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8300E71" w14:textId="08DF6880" w:rsidR="007D0790" w:rsidRPr="0026349C" w:rsidRDefault="00CF79B9" w:rsidP="00CF79B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12-13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A6D080" w14:textId="51414E16" w:rsidR="007D0790" w:rsidRPr="0026349C" w:rsidRDefault="007D0790" w:rsidP="007D07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899BB54" w14:textId="2CEA6D97" w:rsidR="007D0790" w:rsidRPr="00BD2FE1" w:rsidRDefault="00BD2FE1" w:rsidP="007D07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BD2FE1">
              <w:rPr>
                <w:rFonts w:asciiTheme="majorBidi" w:hAnsiTheme="majorBidi" w:cstheme="majorBidi"/>
                <w:sz w:val="20"/>
                <w:szCs w:val="20"/>
              </w:rPr>
              <w:t>6, c2</w:t>
            </w:r>
          </w:p>
        </w:tc>
        <w:tc>
          <w:tcPr>
            <w:tcW w:w="3402" w:type="dxa"/>
            <w:shd w:val="clear" w:color="auto" w:fill="auto"/>
          </w:tcPr>
          <w:p w14:paraId="3CB47708" w14:textId="6F5B4CF9" w:rsidR="007D0790" w:rsidRPr="0026349C" w:rsidRDefault="00584DCA" w:rsidP="007D0790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>قضايا مع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صرة في </w:t>
            </w:r>
            <w:r w:rsidR="00523C51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الارشاد واعادة </w:t>
            </w:r>
            <w:r w:rsidR="008E308C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التاهيل </w:t>
            </w: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="008E308C">
              <w:rPr>
                <w:rFonts w:asciiTheme="majorBidi" w:hAnsiTheme="majorBidi" w:cs="Times New Roman" w:hint="cs"/>
                <w:sz w:val="20"/>
                <w:szCs w:val="20"/>
                <w:rtl/>
              </w:rPr>
              <w:t>ل</w:t>
            </w: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>ذوي الإعاقة والموهوبين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: (</w:t>
            </w: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>الدمج الشامل، التكنولوجيا المساندة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</w:t>
            </w:r>
            <w:r w:rsidR="008E308C">
              <w:rPr>
                <w:rFonts w:asciiTheme="majorBidi" w:hAnsiTheme="majorBidi" w:cs="Times New Roman" w:hint="cs"/>
                <w:sz w:val="20"/>
                <w:szCs w:val="20"/>
                <w:rtl/>
              </w:rPr>
              <w:t>لارشاد الاسري</w:t>
            </w:r>
            <w:r w:rsidR="00C27678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>عن بع</w:t>
            </w:r>
            <w:r w:rsidR="00C27678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د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،</w:t>
            </w:r>
            <w:r>
              <w:rPr>
                <w:rFonts w:asciiTheme="majorBidi" w:hAnsiTheme="majorBidi" w:cs="Times New Roman"/>
                <w:sz w:val="20"/>
                <w:szCs w:val="20"/>
                <w:rtl/>
              </w:rPr>
              <w:t>مهارات ومتطلبات الإنتقال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F6C05" w14:textId="1D2AA1A3" w:rsidR="007D0790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631FE8FC" w14:textId="77777777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72474EF0" w14:textId="5A39FE69" w:rsidR="007D0790" w:rsidRPr="0026349C" w:rsidRDefault="007D0790" w:rsidP="007D079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E1ED70" w14:textId="14C93509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C3140D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الامتحان النهائي.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5F5EE616" w14:textId="77777777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34AC2FA5" w14:textId="56ADB255" w:rsidR="007D0790" w:rsidRPr="0026349C" w:rsidRDefault="007D0790" w:rsidP="007D079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AA54D4" w:rsidRPr="00910CF9" w14:paraId="1DEE9068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7AEE63F" w14:textId="44B6766E" w:rsidR="00AA54D4" w:rsidRDefault="00CF79B9" w:rsidP="00C3140D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BC3D115" w14:textId="742C8B69" w:rsidR="00AA54D4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23901E6" w14:textId="77777777" w:rsidR="00AA54D4" w:rsidRPr="0026349C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00AA45A" w14:textId="496F31F2" w:rsidR="00AA54D4" w:rsidRPr="00C3140D" w:rsidRDefault="00AA54D4" w:rsidP="00AA54D4">
            <w:pPr>
              <w:bidi/>
              <w:ind w:left="-18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FFBB1" w14:textId="77777777" w:rsidR="00AA54D4" w:rsidRPr="00120FD2" w:rsidRDefault="00AA54D4" w:rsidP="00C3140D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E779DD4" w14:textId="77777777" w:rsidR="00AA54D4" w:rsidRPr="00120FD2" w:rsidRDefault="00AA54D4" w:rsidP="00C3140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6CFCB30E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58F135A2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56E0637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2D21FCE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A376E5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6F784F" w14:textId="77777777" w:rsidR="00F462D7" w:rsidRDefault="00414FD5" w:rsidP="00C726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شاهين </w:t>
            </w:r>
            <w:r w:rsidR="002150FB">
              <w:rPr>
                <w:rFonts w:hint="cs"/>
                <w:rtl/>
                <w:lang w:bidi="ar-JO"/>
              </w:rPr>
              <w:t>، عوني (2018) ا</w:t>
            </w:r>
            <w:r w:rsidR="00485D6C">
              <w:rPr>
                <w:rFonts w:hint="cs"/>
                <w:rtl/>
                <w:lang w:bidi="ar-JO"/>
              </w:rPr>
              <w:t xml:space="preserve">رشاد الطلبة ذوي الحاجات الخاصة واسرهم </w:t>
            </w:r>
            <w:r w:rsidR="00DD1EF5">
              <w:rPr>
                <w:rFonts w:hint="cs"/>
                <w:rtl/>
                <w:lang w:bidi="ar-JO"/>
              </w:rPr>
              <w:t>، دار ابراج للنشر والتوريع عمان</w:t>
            </w:r>
          </w:p>
          <w:p w14:paraId="7215105F" w14:textId="5E135542" w:rsidR="00BD13A4" w:rsidRPr="00C726BA" w:rsidRDefault="00BD13A4" w:rsidP="00C726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 xml:space="preserve">شاهين ن عوني </w:t>
            </w:r>
            <w:r w:rsidR="00651774">
              <w:rPr>
                <w:rFonts w:hint="cs"/>
                <w:rtl/>
                <w:lang w:bidi="ar-JO"/>
              </w:rPr>
              <w:t xml:space="preserve">، النواوي ،محمود </w:t>
            </w:r>
            <w:r w:rsidR="009C4842">
              <w:rPr>
                <w:rFonts w:hint="cs"/>
                <w:rtl/>
                <w:lang w:bidi="ar-JO"/>
              </w:rPr>
              <w:t xml:space="preserve">، (2009) </w:t>
            </w:r>
            <w:r w:rsidR="00EA7D22">
              <w:rPr>
                <w:rFonts w:hint="cs"/>
                <w:rtl/>
                <w:lang w:bidi="ar-JO"/>
              </w:rPr>
              <w:t>التا</w:t>
            </w:r>
            <w:r w:rsidR="00654B2B">
              <w:rPr>
                <w:rFonts w:hint="cs"/>
                <w:rtl/>
                <w:lang w:bidi="ar-JO"/>
              </w:rPr>
              <w:t>هيل المجتمعسي للاشخاص المعوقين .</w:t>
            </w:r>
            <w:r w:rsidR="009C4842">
              <w:rPr>
                <w:rFonts w:hint="cs"/>
                <w:rtl/>
                <w:lang w:bidi="ar-JO"/>
              </w:rPr>
              <w:t xml:space="preserve">دار الشروق للنشر والتوزيع عمان </w:t>
            </w:r>
          </w:p>
        </w:tc>
      </w:tr>
      <w:tr w:rsidR="00D862D9" w:rsidRPr="00D862D9" w14:paraId="28B55864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BF01572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041E231" w14:textId="77777777" w:rsidR="00B67136" w:rsidRPr="00F6028B" w:rsidRDefault="002C4F09" w:rsidP="00B67136">
            <w:pPr>
              <w:pStyle w:val="ListParagraph"/>
              <w:numPr>
                <w:ilvl w:val="0"/>
                <w:numId w:val="12"/>
              </w:numPr>
            </w:pPr>
            <w:r w:rsidRPr="002055EE">
              <w:rPr>
                <w:rFonts w:eastAsia="Calibri" w:hint="cs"/>
                <w:color w:val="000000"/>
                <w:sz w:val="20"/>
                <w:szCs w:val="20"/>
                <w:rtl/>
              </w:rPr>
              <w:t xml:space="preserve">. </w:t>
            </w:r>
            <w:proofErr w:type="spellStart"/>
            <w:r w:rsidR="00B67136" w:rsidRPr="00F6028B">
              <w:t>Ganvir</w:t>
            </w:r>
            <w:proofErr w:type="spellEnd"/>
            <w:r w:rsidR="00B67136" w:rsidRPr="00F6028B">
              <w:t xml:space="preserve">,  </w:t>
            </w:r>
            <w:hyperlink r:id="rId5" w:history="1">
              <w:r w:rsidR="00B67136" w:rsidRPr="00F6028B">
                <w:t>Shyam D</w:t>
              </w:r>
            </w:hyperlink>
            <w:r w:rsidR="00B67136" w:rsidRPr="00F6028B">
              <w:t>. (2023). Disability and Rehabilitation Paperback. Jaypee Brothers Medical Publishers Pvt Ltd; 1st ed.</w:t>
            </w:r>
          </w:p>
          <w:p w14:paraId="0A8F5276" w14:textId="77777777" w:rsidR="00B67136" w:rsidRPr="00AF2003" w:rsidRDefault="00B67136" w:rsidP="00B67136">
            <w:pPr>
              <w:pStyle w:val="ListParagraph"/>
              <w:numPr>
                <w:ilvl w:val="0"/>
                <w:numId w:val="12"/>
              </w:numPr>
            </w:pPr>
            <w:r w:rsidRPr="00AF2003">
              <w:t>Buscaglia, Leo (1994). THE DISABLED AND THEIR PARENTS: A COUNSELING CHALLENGE. Slack Incorporated</w:t>
            </w:r>
          </w:p>
          <w:p w14:paraId="14735CA1" w14:textId="4CC4ABF7" w:rsidR="006D2846" w:rsidRPr="002C4F09" w:rsidRDefault="006D2846" w:rsidP="00B67136">
            <w:pPr>
              <w:bidi/>
              <w:spacing w:before="120"/>
              <w:ind w:left="720" w:hanging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B7395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00CCE3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19F960" w14:textId="394E4DAE" w:rsidR="00666702" w:rsidRDefault="002C4F09" w:rsidP="00666702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ar-JO"/>
              </w:rPr>
            </w:pPr>
            <w:r w:rsidRPr="002C4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>Journal of Research in Special Educational Needs (JORSEN</w:t>
            </w:r>
          </w:p>
          <w:p w14:paraId="72638B70" w14:textId="77777777" w:rsidR="00666702" w:rsidRPr="002C4F09" w:rsidRDefault="00666702" w:rsidP="00666702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</w:pPr>
          </w:p>
          <w:p w14:paraId="1650F92B" w14:textId="3B1F9AF2" w:rsidR="002C4F09" w:rsidRPr="00D862D9" w:rsidRDefault="002C4F09" w:rsidP="002C4F09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C4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>.</w:t>
            </w:r>
            <w:r w:rsidR="00CF2221" w:rsidRPr="00AF2003">
              <w:t xml:space="preserve"> Wood</w:t>
            </w:r>
            <w:r w:rsidR="00CF2221">
              <w:t>,</w:t>
            </w:r>
            <w:r w:rsidR="00CF2221" w:rsidRPr="00AF2003">
              <w:t xml:space="preserve"> Susannah M, Peterson</w:t>
            </w:r>
            <w:r w:rsidR="00CF2221">
              <w:t xml:space="preserve">, </w:t>
            </w:r>
            <w:r w:rsidR="00CF2221" w:rsidRPr="00AF2003">
              <w:t xml:space="preserve"> </w:t>
            </w:r>
            <w:r w:rsidR="00CF2221" w:rsidRPr="00AF2003">
              <w:rPr>
                <w:rtl/>
              </w:rPr>
              <w:t>‏</w:t>
            </w:r>
            <w:r w:rsidR="00CF2221" w:rsidRPr="00AF2003">
              <w:t>Jean Sunde</w:t>
            </w:r>
            <w:r w:rsidR="00CF2221">
              <w:t xml:space="preserve">, &amp;  </w:t>
            </w:r>
            <w:r w:rsidR="00CF2221" w:rsidRPr="00AF2003">
              <w:t>Cross</w:t>
            </w:r>
            <w:r w:rsidR="00CF2221">
              <w:t xml:space="preserve">,  </w:t>
            </w:r>
            <w:r w:rsidR="00CF2221" w:rsidRPr="00AF2003">
              <w:t>Tracy L</w:t>
            </w:r>
            <w:r w:rsidR="00CF2221">
              <w:t>. (</w:t>
            </w:r>
            <w:r w:rsidR="00CF2221" w:rsidRPr="00AF2003">
              <w:t xml:space="preserve"> 2017</w:t>
            </w:r>
            <w:r w:rsidR="00CF2221">
              <w:t xml:space="preserve">). </w:t>
            </w:r>
            <w:r w:rsidR="00CF2221" w:rsidRPr="00AF2003">
              <w:t>Counseling Gifted Students</w:t>
            </w:r>
            <w:r w:rsidR="00CF2221">
              <w:t xml:space="preserve"> </w:t>
            </w:r>
            <w:r w:rsidR="00CF2221" w:rsidRPr="00AF2003">
              <w:t>A Guide for School Counselors</w:t>
            </w:r>
            <w:r w:rsidR="00CF2221">
              <w:t>. Springer Publisher Company.</w:t>
            </w:r>
          </w:p>
        </w:tc>
      </w:tr>
      <w:tr w:rsidR="00D862D9" w:rsidRPr="00D862D9" w14:paraId="353EA9B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C3C2AA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3CC42D" w14:textId="31F02657" w:rsidR="00D862D9" w:rsidRPr="00D862D9" w:rsidRDefault="00CF222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عندما تنف</w:t>
            </w:r>
            <w:r w:rsidR="006245F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ذ الخطة يتم اختيار المناسب من المواد الالكتونية لان المواقع غير ثابتة </w:t>
            </w:r>
          </w:p>
        </w:tc>
      </w:tr>
      <w:tr w:rsidR="00D862D9" w:rsidRPr="00D862D9" w14:paraId="0E5C9B45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001DA99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2C08DC" w14:textId="64FBB291" w:rsidR="00D862D9" w:rsidRPr="00D862D9" w:rsidRDefault="00D862D9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11BD5427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1082B1E3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752047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6B72B73C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00EF04B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6C94C39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2211D6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4BD7759A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EC746E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C3B6EB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F13124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B1500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257669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E07B77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191595A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6C1A666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14:paraId="30239C72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C77C4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74F6A" w14:textId="0B82755C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AE6202" w14:textId="400E5D21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F2D206" w14:textId="02178BD7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00E37" w14:textId="5C5C6A35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DE2C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95445A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101E10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1541F29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358A6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B1B62" w14:textId="19B814C4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265E8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48E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1EBD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7E1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E0288B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444D3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E986F02" w14:textId="77777777" w:rsidTr="006E0D17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3C476D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8D1124" w14:textId="18128654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D7652D" w14:textId="4CF40DFA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a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25133B0" w14:textId="49C90025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b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00388D3B" w14:textId="3F175A7E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c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EBCF2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2F35657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C442DA9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7973D4C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8E76590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003E1" w14:textId="3F7D9F52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119BE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8A4FE20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5017458E" w14:textId="77777777"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7D4343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44E2B" w14:textId="6B4C6750" w:rsidR="00D862D9" w:rsidRPr="00D862D9" w:rsidRDefault="004B52B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B978AD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FB5E49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00F858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E82F5A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117889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EE0298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78E5CCE" w14:textId="77777777" w:rsidTr="00D1111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CB5D74F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711C8B1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D03B7" w14:textId="3ED422EB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55948661" w14:textId="09D1F45D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a</w:t>
            </w:r>
          </w:p>
        </w:tc>
        <w:tc>
          <w:tcPr>
            <w:tcW w:w="636" w:type="dxa"/>
          </w:tcPr>
          <w:p w14:paraId="3DF41DAA" w14:textId="569854E6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b</w:t>
            </w:r>
          </w:p>
        </w:tc>
        <w:tc>
          <w:tcPr>
            <w:tcW w:w="652" w:type="dxa"/>
          </w:tcPr>
          <w:p w14:paraId="5922E836" w14:textId="2CFDCF7A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c</w:t>
            </w:r>
          </w:p>
        </w:tc>
        <w:tc>
          <w:tcPr>
            <w:tcW w:w="652" w:type="dxa"/>
            <w:vAlign w:val="center"/>
          </w:tcPr>
          <w:p w14:paraId="2B33373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6D9D30E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D82A20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5D6C27DE" w14:textId="77777777" w:rsidTr="0055139D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B8B0D26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0843B21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D300A" w14:textId="58A59D6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5F88BB4F" w14:textId="10EC546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a</w:t>
            </w:r>
          </w:p>
        </w:tc>
        <w:tc>
          <w:tcPr>
            <w:tcW w:w="636" w:type="dxa"/>
          </w:tcPr>
          <w:p w14:paraId="1B86B113" w14:textId="556EB28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b</w:t>
            </w:r>
          </w:p>
        </w:tc>
        <w:tc>
          <w:tcPr>
            <w:tcW w:w="652" w:type="dxa"/>
          </w:tcPr>
          <w:p w14:paraId="1943E48C" w14:textId="12C2FCD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c</w:t>
            </w:r>
          </w:p>
        </w:tc>
        <w:tc>
          <w:tcPr>
            <w:tcW w:w="652" w:type="dxa"/>
            <w:vAlign w:val="center"/>
          </w:tcPr>
          <w:p w14:paraId="5CA37CA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6F178BF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8B1F0B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E1EA30A" w14:textId="77777777" w:rsidTr="00E551A2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94260DE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28AE9BC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596E8" w14:textId="645004C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10EB124F" w14:textId="7F8EC2D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a</w:t>
            </w:r>
          </w:p>
        </w:tc>
        <w:tc>
          <w:tcPr>
            <w:tcW w:w="636" w:type="dxa"/>
          </w:tcPr>
          <w:p w14:paraId="252A13E1" w14:textId="22D5A71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b</w:t>
            </w:r>
          </w:p>
        </w:tc>
        <w:tc>
          <w:tcPr>
            <w:tcW w:w="652" w:type="dxa"/>
          </w:tcPr>
          <w:p w14:paraId="5A495489" w14:textId="797725D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c</w:t>
            </w:r>
          </w:p>
        </w:tc>
        <w:tc>
          <w:tcPr>
            <w:tcW w:w="652" w:type="dxa"/>
            <w:vAlign w:val="center"/>
          </w:tcPr>
          <w:p w14:paraId="4A3CF5A5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FA887AC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F6984F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FFB090E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8619005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1DF0469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8D58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4E4B4C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14F6FB4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21277E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98DEF9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52C7F0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7129C1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3A946835" w14:textId="77777777" w:rsidTr="00484827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C972ABD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E4F6788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3A234" w14:textId="065EDB5E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48B2578B" w14:textId="55C9394C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a</w:t>
            </w:r>
          </w:p>
        </w:tc>
        <w:tc>
          <w:tcPr>
            <w:tcW w:w="636" w:type="dxa"/>
          </w:tcPr>
          <w:p w14:paraId="7CD5413D" w14:textId="23A800FD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b</w:t>
            </w:r>
          </w:p>
        </w:tc>
        <w:tc>
          <w:tcPr>
            <w:tcW w:w="652" w:type="dxa"/>
          </w:tcPr>
          <w:p w14:paraId="1C34C7E2" w14:textId="7F3A9E5B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c</w:t>
            </w:r>
          </w:p>
        </w:tc>
        <w:tc>
          <w:tcPr>
            <w:tcW w:w="652" w:type="dxa"/>
            <w:vAlign w:val="center"/>
          </w:tcPr>
          <w:p w14:paraId="2FE4F35B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D58C41E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168BFD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283789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6E8F92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E86B77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951D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06218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794182F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149851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5C84DA9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FC2B50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BA70BF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FF8378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8B55175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F02B5DF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7E09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40AE2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765836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C6DF41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139AD4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CB9935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5655ADC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FFA09C1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6076410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8A7D8" w14:textId="569B9EB9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3BD33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221B2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796A6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F4088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39F8CAD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188B384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2D695CE" w14:textId="77777777" w:rsidR="00307882" w:rsidRDefault="00307882" w:rsidP="002055EE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0776"/>
    <w:multiLevelType w:val="hybridMultilevel"/>
    <w:tmpl w:val="C6983152"/>
    <w:lvl w:ilvl="0" w:tplc="DE46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525B"/>
    <w:multiLevelType w:val="hybridMultilevel"/>
    <w:tmpl w:val="8BCC802A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063F9"/>
    <w:multiLevelType w:val="hybridMultilevel"/>
    <w:tmpl w:val="B5447CAA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E44BF"/>
    <w:multiLevelType w:val="hybridMultilevel"/>
    <w:tmpl w:val="224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A4A78"/>
    <w:multiLevelType w:val="hybridMultilevel"/>
    <w:tmpl w:val="06903BEA"/>
    <w:lvl w:ilvl="0" w:tplc="FA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5193">
    <w:abstractNumId w:val="9"/>
  </w:num>
  <w:num w:numId="2" w16cid:durableId="220092796">
    <w:abstractNumId w:val="4"/>
  </w:num>
  <w:num w:numId="3" w16cid:durableId="441875284">
    <w:abstractNumId w:val="5"/>
  </w:num>
  <w:num w:numId="4" w16cid:durableId="927348085">
    <w:abstractNumId w:val="11"/>
  </w:num>
  <w:num w:numId="5" w16cid:durableId="968820829">
    <w:abstractNumId w:val="2"/>
  </w:num>
  <w:num w:numId="6" w16cid:durableId="304286568">
    <w:abstractNumId w:val="0"/>
  </w:num>
  <w:num w:numId="7" w16cid:durableId="204104222">
    <w:abstractNumId w:val="8"/>
  </w:num>
  <w:num w:numId="8" w16cid:durableId="46882067">
    <w:abstractNumId w:val="7"/>
  </w:num>
  <w:num w:numId="9" w16cid:durableId="1444417472">
    <w:abstractNumId w:val="1"/>
  </w:num>
  <w:num w:numId="10" w16cid:durableId="595527873">
    <w:abstractNumId w:val="10"/>
  </w:num>
  <w:num w:numId="11" w16cid:durableId="661742542">
    <w:abstractNumId w:val="3"/>
  </w:num>
  <w:num w:numId="12" w16cid:durableId="1949046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05E66"/>
    <w:rsid w:val="00010236"/>
    <w:rsid w:val="00060D4D"/>
    <w:rsid w:val="000E4C8A"/>
    <w:rsid w:val="00120FD2"/>
    <w:rsid w:val="00124AB2"/>
    <w:rsid w:val="0016059E"/>
    <w:rsid w:val="001732F2"/>
    <w:rsid w:val="00195213"/>
    <w:rsid w:val="001E030D"/>
    <w:rsid w:val="001E30AD"/>
    <w:rsid w:val="001E770F"/>
    <w:rsid w:val="002055EE"/>
    <w:rsid w:val="002150FB"/>
    <w:rsid w:val="002170C8"/>
    <w:rsid w:val="002450CC"/>
    <w:rsid w:val="00251CAD"/>
    <w:rsid w:val="00253DB4"/>
    <w:rsid w:val="00263393"/>
    <w:rsid w:val="0026349C"/>
    <w:rsid w:val="002C0EDF"/>
    <w:rsid w:val="002C4F09"/>
    <w:rsid w:val="002D3310"/>
    <w:rsid w:val="002D5693"/>
    <w:rsid w:val="00306155"/>
    <w:rsid w:val="00307882"/>
    <w:rsid w:val="003724AD"/>
    <w:rsid w:val="00386FE4"/>
    <w:rsid w:val="003B0697"/>
    <w:rsid w:val="003B1FAD"/>
    <w:rsid w:val="003B458E"/>
    <w:rsid w:val="003C67DA"/>
    <w:rsid w:val="003E0D63"/>
    <w:rsid w:val="003E53DE"/>
    <w:rsid w:val="00414FD5"/>
    <w:rsid w:val="004420A3"/>
    <w:rsid w:val="00446179"/>
    <w:rsid w:val="00452806"/>
    <w:rsid w:val="00465F6A"/>
    <w:rsid w:val="00485D6C"/>
    <w:rsid w:val="004B27E8"/>
    <w:rsid w:val="004B52B9"/>
    <w:rsid w:val="00523C51"/>
    <w:rsid w:val="0053485F"/>
    <w:rsid w:val="00544EA1"/>
    <w:rsid w:val="005517DE"/>
    <w:rsid w:val="005543C5"/>
    <w:rsid w:val="0056264C"/>
    <w:rsid w:val="00570903"/>
    <w:rsid w:val="00584DCA"/>
    <w:rsid w:val="0058778A"/>
    <w:rsid w:val="00592383"/>
    <w:rsid w:val="005A78D1"/>
    <w:rsid w:val="005B0E69"/>
    <w:rsid w:val="0061125D"/>
    <w:rsid w:val="006245FE"/>
    <w:rsid w:val="006338DA"/>
    <w:rsid w:val="00651774"/>
    <w:rsid w:val="00654B2B"/>
    <w:rsid w:val="00666702"/>
    <w:rsid w:val="00685596"/>
    <w:rsid w:val="006A16D0"/>
    <w:rsid w:val="006A345E"/>
    <w:rsid w:val="006C7CE5"/>
    <w:rsid w:val="006D2846"/>
    <w:rsid w:val="006E4D8C"/>
    <w:rsid w:val="006F42F8"/>
    <w:rsid w:val="006F52AA"/>
    <w:rsid w:val="007032A5"/>
    <w:rsid w:val="0071220E"/>
    <w:rsid w:val="00714341"/>
    <w:rsid w:val="00716CF8"/>
    <w:rsid w:val="00726B4B"/>
    <w:rsid w:val="007326A4"/>
    <w:rsid w:val="0073386F"/>
    <w:rsid w:val="00764970"/>
    <w:rsid w:val="0077453D"/>
    <w:rsid w:val="007823B3"/>
    <w:rsid w:val="0078243D"/>
    <w:rsid w:val="00784734"/>
    <w:rsid w:val="007C688D"/>
    <w:rsid w:val="007D0790"/>
    <w:rsid w:val="007D0C98"/>
    <w:rsid w:val="007E5044"/>
    <w:rsid w:val="008122FE"/>
    <w:rsid w:val="00826E4F"/>
    <w:rsid w:val="0084588B"/>
    <w:rsid w:val="00845A30"/>
    <w:rsid w:val="00873ED3"/>
    <w:rsid w:val="0089088C"/>
    <w:rsid w:val="00890D6C"/>
    <w:rsid w:val="008913B5"/>
    <w:rsid w:val="00895162"/>
    <w:rsid w:val="008A7927"/>
    <w:rsid w:val="008B3FA3"/>
    <w:rsid w:val="008C0140"/>
    <w:rsid w:val="008D1E50"/>
    <w:rsid w:val="008D2B2B"/>
    <w:rsid w:val="008E1470"/>
    <w:rsid w:val="008E212D"/>
    <w:rsid w:val="008E308C"/>
    <w:rsid w:val="00925952"/>
    <w:rsid w:val="00937652"/>
    <w:rsid w:val="00952BBE"/>
    <w:rsid w:val="00966849"/>
    <w:rsid w:val="009A3234"/>
    <w:rsid w:val="009B00EC"/>
    <w:rsid w:val="009B2BEC"/>
    <w:rsid w:val="009C4842"/>
    <w:rsid w:val="009E6BF0"/>
    <w:rsid w:val="009F5586"/>
    <w:rsid w:val="00A0136E"/>
    <w:rsid w:val="00A11250"/>
    <w:rsid w:val="00A1327A"/>
    <w:rsid w:val="00A16707"/>
    <w:rsid w:val="00A200D3"/>
    <w:rsid w:val="00A50B48"/>
    <w:rsid w:val="00A612B9"/>
    <w:rsid w:val="00A71414"/>
    <w:rsid w:val="00A928A7"/>
    <w:rsid w:val="00AA54D4"/>
    <w:rsid w:val="00AD1E75"/>
    <w:rsid w:val="00B244FF"/>
    <w:rsid w:val="00B24B57"/>
    <w:rsid w:val="00B2551A"/>
    <w:rsid w:val="00B2695D"/>
    <w:rsid w:val="00B45EC3"/>
    <w:rsid w:val="00B67136"/>
    <w:rsid w:val="00B75432"/>
    <w:rsid w:val="00BD13A4"/>
    <w:rsid w:val="00BD2FE1"/>
    <w:rsid w:val="00BD78EC"/>
    <w:rsid w:val="00BE2B06"/>
    <w:rsid w:val="00BE7DF9"/>
    <w:rsid w:val="00BF543C"/>
    <w:rsid w:val="00C11641"/>
    <w:rsid w:val="00C26319"/>
    <w:rsid w:val="00C27678"/>
    <w:rsid w:val="00C3140D"/>
    <w:rsid w:val="00C50231"/>
    <w:rsid w:val="00C726BA"/>
    <w:rsid w:val="00C85B9D"/>
    <w:rsid w:val="00C9151E"/>
    <w:rsid w:val="00C95A11"/>
    <w:rsid w:val="00CF2221"/>
    <w:rsid w:val="00CF22B8"/>
    <w:rsid w:val="00CF79B9"/>
    <w:rsid w:val="00D148E8"/>
    <w:rsid w:val="00D549D0"/>
    <w:rsid w:val="00D56E44"/>
    <w:rsid w:val="00D61BBD"/>
    <w:rsid w:val="00D862D9"/>
    <w:rsid w:val="00D900B7"/>
    <w:rsid w:val="00DB1A70"/>
    <w:rsid w:val="00DC5DD3"/>
    <w:rsid w:val="00DD1EF5"/>
    <w:rsid w:val="00DD28A7"/>
    <w:rsid w:val="00DE48EB"/>
    <w:rsid w:val="00DE7A9E"/>
    <w:rsid w:val="00E27F72"/>
    <w:rsid w:val="00E46B89"/>
    <w:rsid w:val="00E70C46"/>
    <w:rsid w:val="00E74C0C"/>
    <w:rsid w:val="00EA7D22"/>
    <w:rsid w:val="00EB4783"/>
    <w:rsid w:val="00ED1644"/>
    <w:rsid w:val="00F17E4A"/>
    <w:rsid w:val="00F23030"/>
    <w:rsid w:val="00F34030"/>
    <w:rsid w:val="00F462D7"/>
    <w:rsid w:val="00F81CC5"/>
    <w:rsid w:val="00FA31EA"/>
    <w:rsid w:val="00FF1576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7DF1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6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12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amazon.com/s/ref=dp_byline_sr_book_1?ie=UTF8&amp;field-author=Shyam+D+Ganvir&amp;text=Shyam+D+Ganvir&amp;sort=relevancerank&amp;search-alias=book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UXCFDSH4Y37E-11-464</_dlc_DocId>
    <_dlc_DocIdUrl xmlns="b417192f-9b40-4b27-a16e-6e0147391471">
      <Url>https://www.mutah.edu.jo/ar/education/_layouts/DocIdRedir.aspx?ID=UXCFDSH4Y37E-11-464</Url>
      <Description>UXCFDSH4Y37E-11-464</Description>
    </_dlc_DocIdUrl>
  </documentManagement>
</p:properties>
</file>

<file path=customXml/itemProps1.xml><?xml version="1.0" encoding="utf-8"?>
<ds:datastoreItem xmlns:ds="http://schemas.openxmlformats.org/officeDocument/2006/customXml" ds:itemID="{7891165A-C910-4190-AE1E-2D5A8AE70964}"/>
</file>

<file path=customXml/itemProps2.xml><?xml version="1.0" encoding="utf-8"?>
<ds:datastoreItem xmlns:ds="http://schemas.openxmlformats.org/officeDocument/2006/customXml" ds:itemID="{805C4084-D366-4821-B6A7-566D924A4D15}"/>
</file>

<file path=customXml/itemProps3.xml><?xml version="1.0" encoding="utf-8"?>
<ds:datastoreItem xmlns:ds="http://schemas.openxmlformats.org/officeDocument/2006/customXml" ds:itemID="{49F797E1-653F-4994-B3FC-10A3425C8EA2}"/>
</file>

<file path=customXml/itemProps4.xml><?xml version="1.0" encoding="utf-8"?>
<ds:datastoreItem xmlns:ds="http://schemas.openxmlformats.org/officeDocument/2006/customXml" ds:itemID="{3E718364-3782-4742-BD0A-F432BF824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Awni Shahin</cp:lastModifiedBy>
  <cp:revision>5</cp:revision>
  <cp:lastPrinted>2024-12-26T15:29:00Z</cp:lastPrinted>
  <dcterms:created xsi:type="dcterms:W3CDTF">2024-12-29T10:40:00Z</dcterms:created>
  <dcterms:modified xsi:type="dcterms:W3CDTF">2024-12-29T12:17:00Z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8fca66d4-10a8-4969-b480-348b3a6ed6d3</vt:lpwstr>
  </property>
</Properties>
</file>