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40" w:rsidRPr="00E92615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40"/>
          <w:szCs w:val="40"/>
          <w:rtl/>
          <w:lang w:bidi="ar-JO"/>
        </w:rPr>
      </w:pPr>
      <w:r w:rsidRPr="00E92615">
        <w:rPr>
          <w:rFonts w:ascii="Times New Roman Bold" w:eastAsia="Calibri" w:hAnsi="Times New Roman Bold" w:cs="Sakkal Majalla" w:hint="cs"/>
          <w:b/>
          <w:bCs/>
          <w:color w:val="000000"/>
          <w:sz w:val="40"/>
          <w:szCs w:val="40"/>
          <w:rtl/>
        </w:rPr>
        <w:t>نموذج رقم (</w:t>
      </w:r>
      <w:r w:rsidRPr="00E92615">
        <w:rPr>
          <w:rFonts w:ascii="Times New Roman Bold" w:eastAsia="Calibri" w:hAnsi="Times New Roman Bold" w:cs="Sakkal Majalla"/>
          <w:b/>
          <w:bCs/>
          <w:color w:val="000000"/>
          <w:sz w:val="40"/>
          <w:szCs w:val="40"/>
        </w:rPr>
        <w:t>2</w:t>
      </w:r>
      <w:r w:rsidRPr="00E92615">
        <w:rPr>
          <w:rFonts w:ascii="Times New Roman Bold" w:eastAsia="Calibri" w:hAnsi="Times New Roman Bold" w:cs="Sakkal Majalla" w:hint="cs"/>
          <w:b/>
          <w:bCs/>
          <w:color w:val="000000"/>
          <w:sz w:val="40"/>
          <w:szCs w:val="40"/>
          <w:rtl/>
        </w:rPr>
        <w:t xml:space="preserve">): </w:t>
      </w:r>
      <w:r w:rsidRPr="00E92615">
        <w:rPr>
          <w:rFonts w:ascii="Times New Roman Bold" w:eastAsia="Calibri" w:hAnsi="Times New Roman Bold" w:cs="Sakkal Majalla" w:hint="cs"/>
          <w:b/>
          <w:bCs/>
          <w:color w:val="000000"/>
          <w:sz w:val="40"/>
          <w:szCs w:val="40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240"/>
        <w:gridCol w:w="205"/>
        <w:gridCol w:w="1415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B5283F" w:rsidRDefault="007570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A51819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B5283F" w:rsidRDefault="007570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المستوى </w:t>
            </w:r>
            <w:r w:rsidR="008C0140"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في الإطار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B5283F" w:rsidRDefault="00153EB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9</w:t>
            </w:r>
            <w:r w:rsidR="00F4661F"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C0140" w:rsidRPr="00263393" w:rsidTr="00A51819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253A63" w:rsidRDefault="001F602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44"/>
                <w:szCs w:val="44"/>
                <w:lang w:bidi="ar-JO"/>
              </w:rPr>
            </w:pPr>
            <w:r w:rsidRPr="00253A63">
              <w:rPr>
                <w:rFonts w:ascii="Times New Roman" w:eastAsia="Calibri" w:hAnsi="Times New Roman" w:cs="Simplified Arabic" w:hint="cs"/>
                <w:b/>
                <w:bCs/>
                <w:color w:val="FF0000"/>
                <w:sz w:val="44"/>
                <w:szCs w:val="44"/>
                <w:rtl/>
                <w:lang w:bidi="ar-JO"/>
              </w:rPr>
              <w:t>أساليب الإرشاد</w:t>
            </w:r>
            <w:r w:rsidR="00A51819" w:rsidRPr="00253A63">
              <w:rPr>
                <w:rFonts w:ascii="Times New Roman" w:eastAsia="Calibri" w:hAnsi="Times New Roman" w:cs="Simplified Arabic" w:hint="cs"/>
                <w:b/>
                <w:bCs/>
                <w:color w:val="FF0000"/>
                <w:sz w:val="44"/>
                <w:szCs w:val="44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متطلب سابق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B5283F" w:rsidRDefault="001F602E" w:rsidP="001F602E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_</w:t>
            </w:r>
          </w:p>
        </w:tc>
      </w:tr>
      <w:tr w:rsidR="008C0140" w:rsidRPr="00263393" w:rsidTr="00A51819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F4661F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A51819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A5181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///</w:t>
            </w: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A51819" w:rsidRDefault="00A51819" w:rsidP="00A51819">
            <w:p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sz w:val="28"/>
                <w:szCs w:val="28"/>
                <w:rtl/>
              </w:rPr>
              <w:t>///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B5283F" w:rsidRDefault="00F4661F" w:rsidP="00F4661F">
            <w:pPr>
              <w:bidi/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hyperlink r:id="rId5" w:history="1">
              <w:r w:rsidRPr="00B5283F">
                <w:rPr>
                  <w:rStyle w:val="Hyperlink"/>
                  <w:rFonts w:ascii="Times New Roman" w:eastAsia="Calibri" w:hAnsi="Times New Roman" w:cs="Simplified Arabic"/>
                  <w:b/>
                  <w:bCs/>
                  <w:sz w:val="28"/>
                  <w:szCs w:val="28"/>
                  <w:lang w:bidi="ar-JO"/>
                </w:rPr>
                <w:t>Dr-mohamadsafa@hotmail.com</w:t>
              </w:r>
            </w:hyperlink>
            <w:r w:rsidRPr="00B5283F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 . د . محمد إبراهيم السفاسفة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C0140" w:rsidRPr="00B5283F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الثاني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24/12/ 2024</w:t>
            </w:r>
          </w:p>
        </w:tc>
        <w:tc>
          <w:tcPr>
            <w:tcW w:w="1445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A51819" w:rsidRDefault="002E784A" w:rsidP="001F602E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يتضمن المساق</w:t>
            </w:r>
            <w:r w:rsidR="001F602E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1F602E" w:rsidRP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تعريف المتعلم</w:t>
            </w:r>
            <w:r w:rsidR="001F602E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ين</w:t>
            </w:r>
            <w:r w:rsid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كيفية تخطيط الإجراء الإرشادي</w:t>
            </w:r>
            <w:r w:rsidR="001F602E" w:rsidRP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والأساليب المقننة وغير المقننة في جمع البيانات اللازمة للعملية الإرشادية وتفسيرها وتحليلها، وكذلك تدريب المتعلمين على كيفية استخدام الأساليب المختلف</w:t>
            </w:r>
            <w:r w:rsid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ة وتوظيفها في العملية الإرشادية</w:t>
            </w:r>
            <w:r w:rsidR="001F602E" w:rsidRP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، كما يتناول هذا المساق الأساليب الإرشادية و</w:t>
            </w:r>
            <w:r w:rsid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العلاجية المباشرة وغير المباشرة</w:t>
            </w:r>
            <w:r w:rsidR="001F602E" w:rsidRP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وأهميتها في العملية الإرشادية والعلاجية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  <w:p w:rsidR="008C0140" w:rsidRPr="00A26C64" w:rsidRDefault="00F4661F" w:rsidP="002E784A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A26C64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F4661F" w:rsidRPr="00A26C64" w:rsidRDefault="00F4661F" w:rsidP="001F602E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  <w:tab/>
            </w:r>
            <w:r w:rsidR="002E784A" w:rsidRPr="002E78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ab/>
            </w:r>
            <w:r w:rsidR="001F602E" w:rsidRPr="001F60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ab/>
            </w:r>
            <w:r w:rsidR="001F602E" w:rsidRPr="001F602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1- </w:t>
            </w:r>
            <w:r w:rsidR="001F602E" w:rsidRPr="001F602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التعرف إلى</w:t>
            </w:r>
            <w:r w:rsidR="001F602E" w:rsidRPr="001F602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1F602E" w:rsidRPr="001F602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إلى الأساليب الحديثة في الإرشاد النفسي</w:t>
            </w: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1F602E" w:rsidRDefault="00F4661F" w:rsidP="001F602E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2E784A"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1F602E" w:rsidRP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1F602E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2 </w:t>
            </w:r>
            <w:r w:rsid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–</w:t>
            </w:r>
            <w:r w:rsidR="001F602E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التعرف إلى وسائل جمع المعلومالت حول المسترشدين</w:t>
            </w:r>
          </w:p>
          <w:p w:rsidR="001F602E" w:rsidRDefault="001F602E" w:rsidP="001F602E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3- </w:t>
            </w:r>
            <w:r w:rsidRP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توظيف هذه الأساليب في حالات افتراضيةٍ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F4661F" w:rsidRPr="00A26C64" w:rsidRDefault="001F602E" w:rsidP="001F602E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 xml:space="preserve"> 4-</w:t>
            </w:r>
            <w:r w:rsidRP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تدريب الطلبة المتعلمين على مهارات واساليب الإرشاد في العملية الإرشادية</w:t>
            </w:r>
            <w:r w:rsidRPr="001F602E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1F602E" w:rsidRDefault="001F602E" w:rsidP="001F602E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5 </w:t>
            </w: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تصميم حوار إرشادي لتوظيف الأساليب على حالان افتراضية وعرضها أمام الطلبة وتقديم تغذية راجعة تصحيحية من المدرس ومن الطالبة ولجميع طالبة الفصل. </w:t>
            </w:r>
          </w:p>
          <w:p w:rsidR="008C0140" w:rsidRPr="00A26C64" w:rsidRDefault="002E784A" w:rsidP="002E784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0F234A" w:rsidRPr="006B2ADC" w:rsidRDefault="00263393" w:rsidP="006B2ADC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6B2ADC" w:rsidRDefault="006B2ADC" w:rsidP="00783C58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●المعرفة </w:t>
            </w:r>
            <w:r w:rsidR="00BC7E0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لأساليب الإرشاد في كافة الاتجاهات النظرية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263393" w:rsidRPr="00263393" w:rsidRDefault="006B2ADC" w:rsidP="00294399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Pr="006B2AD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المعرفة </w:t>
            </w:r>
            <w:r w:rsidR="0029439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العميقة والإجرائية لمهارات الإرشاد في كافة الإتجاهات النظرية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94399" w:rsidRDefault="00294399" w:rsidP="00783C58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="006B2A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="006B2ADC" w:rsidRPr="006B2AD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●</w:t>
            </w:r>
            <w:r w:rsidR="006B2A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Pr="0029439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bidi="ar-JO"/>
              </w:rPr>
              <w:t>.</w:t>
            </w:r>
            <w:r w:rsidR="006B2ADC"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تطبيق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الأساليب والمهارات الإرشادية على حالات </w:t>
            </w:r>
            <w:r w:rsidR="00783C5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افتراضية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83C58" w:rsidRPr="006B2ADC" w:rsidRDefault="006B2ADC" w:rsidP="00783C58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83C5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تمثيل الدور للأساليب أما طلبة الفصل. </w:t>
            </w:r>
          </w:p>
          <w:p w:rsidR="00294399" w:rsidRPr="006B2ADC" w:rsidRDefault="00294399" w:rsidP="00294399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Default="00596390" w:rsidP="00783C58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المحاضرة، وعروض الطلبة</w:t>
            </w:r>
            <w:r w:rsidR="001E4DD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والحوار والمناقشة</w:t>
            </w:r>
            <w:r w:rsidR="00783C58"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، وطرح الأسئلة، </w:t>
            </w:r>
            <w:r w:rsidR="009C322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تمثيل الأدوار</w:t>
            </w: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B5283F" w:rsidRPr="00596390" w:rsidRDefault="00B5283F" w:rsidP="00783C58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الواجبات البيتية، عروض الطلبة.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596390" w:rsidRDefault="00596390" w:rsidP="0059639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إختب</w:t>
            </w:r>
            <w:r w:rsidR="00035AA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ارات قصيرة، وأختبار منتصف الفصل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والامتحان النهائي، وتقييم وتقديم التغ</w:t>
            </w:r>
            <w:r w:rsidR="0008516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ذية الراجعة 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حول عروض الطلبة</w:t>
            </w:r>
            <w:r w:rsidR="00035AA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والملاحظة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596"/>
        <w:gridCol w:w="630"/>
        <w:gridCol w:w="1604"/>
        <w:gridCol w:w="3256"/>
        <w:gridCol w:w="1989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035AAF" w:rsidRDefault="00FE4604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26349C" w:rsidRDefault="00035AAF" w:rsidP="00925EED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امتلاك الأرضية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لاستعرا</w:t>
            </w: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 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خطوات الأساليب والمهار</w:t>
            </w:r>
            <w:r w:rsidR="009C3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C3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6" w:type="dxa"/>
            <w:shd w:val="clear" w:color="auto" w:fill="auto"/>
          </w:tcPr>
          <w:p w:rsidR="00925EED" w:rsidRDefault="00035AAF" w:rsidP="00925EED">
            <w:pPr>
              <w:ind w:left="-18"/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مناقشة الخطة و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التمهيد لموضوعات المساق ومرا</w:t>
            </w:r>
            <w:r w:rsidR="00925EE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عة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عامة في </w:t>
            </w:r>
            <w:r w:rsidR="009C322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مراحل العملية الإرشادية وخطواتها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</w:t>
            </w:r>
            <w:r w:rsidR="009C322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وأخلاقي</w:t>
            </w:r>
            <w:r w:rsidR="00925EE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اتها. </w:t>
            </w:r>
            <w:r w:rsidR="00925EED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26319" w:rsidRPr="0026349C" w:rsidRDefault="00C26319" w:rsidP="00035AAF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35AAF" w:rsidRDefault="00035AAF" w:rsidP="00035A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المحاضرة، الحوار والمناقشة، طرح الأسئلة.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35AAF" w:rsidRDefault="00035AAF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الملاحظة، طرح الأسئلة. 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التغذية الراجعة. 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085161" w:rsidRDefault="00783C58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085161" w:rsidRDefault="00085161" w:rsidP="00783C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="00783C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الإجراء الإرشادي و استراتيجيات المساعدة وتوقيتها.   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783C58" w:rsidP="00F42032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3C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تخطيط الإجراء الإرشادي: تحديد الأهداف. تحديد مهارات المرشد في فهم المسترشد. اختيار استراتيجيات المساعدة وتوقيتها. خصائص المسترشد وتفضيلاته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  <w:r w:rsidR="00F42032" w:rsidRPr="00F420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F4203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="00F420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لمحاضرة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والحوار والمناقشة، وطرح الأسئلة</w:t>
            </w:r>
            <w:r w:rsidR="00F420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تقديم التغذية الراجعة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F42032" w:rsidP="00F42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الملاحظة للخطوات وتمثيلها 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085161" w:rsidRDefault="00783C58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Pr="00783C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الأساليب الإرشادية  وتمثيلها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783C58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3C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الأساليب الإرشادية: المباشرة وغير المباشرة</w:t>
            </w:r>
            <w:r w:rsidR="003F1E12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الطلبة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وتمثيلها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 الحوار والمناقشة.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3F1E12" w:rsidP="000851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تقديم التغذية الراجعة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 وطر</w:t>
            </w:r>
            <w:r w:rsid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الأسئلة. 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085161" w:rsidRDefault="00783C58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085161" w:rsidRDefault="00783C58" w:rsidP="00783C5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معرفة طرق جمع المعلومات عن المسترشدين 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783C58" w:rsidP="00783C58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3C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طرق جمع البيانات 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عن المسترشد: المقابلة الإرشادية</w:t>
            </w:r>
            <w:r w:rsidRPr="00783C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 المقاييس والاختبارات. دراسة الحالة. مؤتمر الحالة. الملاحظة. السجلات التراكمية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3F1E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الطلبة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وتمثيلها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الحوار والمناقشة.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085161" w:rsidP="0008516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تقيم التغذية الراجعة و</w:t>
            </w:r>
            <w:r w:rsid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تقييم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التمثيل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4C6A60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4C6A60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4C6A60" w:rsidRDefault="00783C58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4C6A60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4C6A60" w:rsidRDefault="00783C58" w:rsidP="00783C58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3C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الأساليب السلوكية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C6A60" w:rsidRDefault="004C6A60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طلبة والحوار وا</w:t>
            </w: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لمناقشة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4C6A60" w:rsidRDefault="004C6A60" w:rsidP="004C6A6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4C6A60" w:rsidRDefault="00783C58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4C6A60" w:rsidRDefault="004C6A60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4C6A60" w:rsidRDefault="00783C58" w:rsidP="004C6A60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الأساليب المعرفية.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C6A60" w:rsidRDefault="00C7632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Default="004C6A60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 w:rsidR="00C7632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401195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401195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</w:rPr>
              <w:t>إختبار منتصف الفصل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C7632A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C7632A" w:rsidRDefault="00783C58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C7632A" w:rsidRDefault="00783C58" w:rsidP="00C7632A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الأساليب الظاهراتية والإنسانية. </w:t>
            </w:r>
            <w:r w:rsidR="00C5300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E1405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9E1405" w:rsidRPr="0026349C" w:rsidRDefault="009E1405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E1405" w:rsidRPr="009E1405" w:rsidRDefault="00FE4604" w:rsidP="007F4C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="007F4C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E1405" w:rsidRPr="0026349C" w:rsidRDefault="009E140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:rsidR="009E1405" w:rsidRPr="009E1405" w:rsidRDefault="009E1405" w:rsidP="009E1405">
            <w:pPr>
              <w:ind w:left="-18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9E1405">
              <w:rPr>
                <w:rFonts w:asciiTheme="majorBidi" w:hAnsiTheme="majorBidi" w:cs="Times New Roman" w:hint="cs"/>
                <w:b/>
                <w:bCs/>
                <w:sz w:val="52"/>
                <w:szCs w:val="52"/>
                <w:rtl/>
              </w:rPr>
              <w:t>الإختبار النهائي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9E1405" w:rsidRPr="009E1405" w:rsidRDefault="009E1405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1405" w:rsidRPr="009E1405" w:rsidRDefault="009E1405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B5283F" w:rsidRDefault="00B5283F" w:rsidP="00B5283F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-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35076" w:rsidRPr="00635076" w:rsidRDefault="007834BB" w:rsidP="00635076">
            <w:pPr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="00635076"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 xml:space="preserve">السفاسفة، محمد ابراهيم. (2018) </w:t>
            </w:r>
            <w:r w:rsidR="00635076" w:rsidRPr="006350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.أساسيات في الإرشاد النفسي</w:t>
            </w:r>
            <w:r w:rsidR="00635076" w:rsidRPr="00635076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(ط3).</w:t>
            </w:r>
          </w:p>
          <w:p w:rsidR="00E4679C" w:rsidRPr="00635076" w:rsidRDefault="00635076" w:rsidP="00635076">
            <w:pPr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 xml:space="preserve">   </w:t>
            </w:r>
            <w:r w:rsidRPr="00635076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: دار حنين للنشر وابلتوزيع. </w:t>
            </w:r>
            <w:r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 xml:space="preserve"> </w:t>
            </w:r>
            <w:r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الكويت</w:t>
            </w:r>
            <w:r w:rsidRPr="00635076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: </w:t>
            </w:r>
            <w:r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 xml:space="preserve"> مكتبة الفلاح وعمان</w:t>
            </w:r>
          </w:p>
          <w:p w:rsidR="00635076" w:rsidRPr="00635076" w:rsidRDefault="007834BB" w:rsidP="00635076">
            <w:pPr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="00635076"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 xml:space="preserve">عمر، ماهر محمد. ( 2001) . </w:t>
            </w:r>
            <w:r w:rsidR="00635076" w:rsidRPr="006350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 xml:space="preserve">المقابلة في الإرشاد والعلاج النفسي </w:t>
            </w:r>
            <w:r w:rsidR="00635076"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 xml:space="preserve">. دار </w:t>
            </w:r>
          </w:p>
          <w:p w:rsidR="00635076" w:rsidRPr="00635076" w:rsidRDefault="00635076" w:rsidP="00635076">
            <w:pPr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635076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       </w:t>
            </w:r>
            <w:r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الإسكندرية</w:t>
            </w:r>
            <w:r w:rsidRPr="00635076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 -  </w:t>
            </w:r>
            <w:r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المعرفة</w:t>
            </w:r>
            <w:r w:rsidRPr="00635076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 ا</w:t>
            </w:r>
            <w:r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لجامعية</w:t>
            </w:r>
            <w:r w:rsidRPr="00635076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  <w:p w:rsidR="00635076" w:rsidRDefault="00635076" w:rsidP="00635076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3507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    </w:t>
            </w:r>
          </w:p>
          <w:p w:rsidR="007834BB" w:rsidRPr="00FE4604" w:rsidRDefault="007834BB" w:rsidP="00635076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r w:rsid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7834BB" w:rsidRPr="00982670" w:rsidRDefault="007834BB" w:rsidP="007834BB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  <w:r>
              <w:t xml:space="preserve"> </w:t>
            </w:r>
            <w:r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Bradley, T. Erford. (2020</w:t>
            </w:r>
            <w:r w:rsidRPr="009826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). </w:t>
            </w:r>
            <w:r w:rsidRPr="009826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ar-JO"/>
              </w:rPr>
              <w:t>45 Techniques Every Counselor Should</w:t>
            </w:r>
          </w:p>
          <w:p w:rsidR="007834BB" w:rsidRPr="00982670" w:rsidRDefault="007834BB" w:rsidP="007834BB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9826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   </w:t>
            </w:r>
            <w:r w:rsidRPr="009826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ar-JO"/>
              </w:rPr>
              <w:t xml:space="preserve"> Know</w:t>
            </w:r>
            <w:r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bidi="ar-JO"/>
              </w:rPr>
              <w:t xml:space="preserve"> </w:t>
            </w:r>
            <w:r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(3rd. ed).Person: Boston, New York and London.</w:t>
            </w:r>
          </w:p>
          <w:p w:rsidR="007834BB" w:rsidRPr="00982670" w:rsidRDefault="007834BB" w:rsidP="007834BB">
            <w:pPr>
              <w:spacing w:before="12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</w:pPr>
            <w:r w:rsidRPr="00982670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r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Cormier, S. Nuri us. P, &amp; Osborn. C. (2009). </w:t>
            </w:r>
            <w:r w:rsidRPr="009826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 xml:space="preserve">Interviewing and </w:t>
            </w:r>
          </w:p>
          <w:p w:rsidR="007834BB" w:rsidRPr="00982670" w:rsidRDefault="007834BB" w:rsidP="007834BB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9826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JO"/>
              </w:rPr>
              <w:t xml:space="preserve">      </w:t>
            </w:r>
            <w:r w:rsidRPr="009826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Change Strategies for Helpers</w:t>
            </w:r>
            <w:r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(6. ed). Brooks /Cole Publishing Co, </w:t>
            </w:r>
          </w:p>
          <w:p w:rsidR="007834BB" w:rsidRPr="00982670" w:rsidRDefault="007834BB" w:rsidP="007834BB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     California.</w:t>
            </w:r>
            <w:r w:rsidRPr="00982670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lang w:bidi="ar-JO"/>
              </w:rPr>
              <w:t xml:space="preserve"> </w:t>
            </w:r>
          </w:p>
          <w:p w:rsidR="00433CE6" w:rsidRPr="00982670" w:rsidRDefault="00433CE6" w:rsidP="00433CE6">
            <w:pPr>
              <w:spacing w:before="12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</w:pPr>
            <w:r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- Jones, R. N. (2008). </w:t>
            </w:r>
            <w:r w:rsidRPr="0098267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T</w:t>
            </w:r>
            <w:r w:rsidRPr="009826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 xml:space="preserve">he Theory and Practice of Counseling and                    </w:t>
            </w:r>
          </w:p>
          <w:p w:rsidR="0040633F" w:rsidRDefault="007834BB" w:rsidP="0040633F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9826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JO"/>
              </w:rPr>
              <w:t xml:space="preserve">      </w:t>
            </w:r>
            <w:r w:rsidR="00433CE6" w:rsidRPr="009826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Psychology</w:t>
            </w:r>
            <w:r w:rsidR="00433CE6" w:rsidRPr="0098267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ar-JO"/>
              </w:rPr>
              <w:t xml:space="preserve"> </w:t>
            </w:r>
            <w:r w:rsidR="00433CE6"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(4th.ed). Sage Publications: Los Angeles, London</w:t>
            </w:r>
            <w:r w:rsidR="00433CE6" w:rsidRPr="007834B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.</w:t>
            </w:r>
          </w:p>
          <w:p w:rsidR="0040633F" w:rsidRPr="0040633F" w:rsidRDefault="0040633F" w:rsidP="0040633F">
            <w:pPr>
              <w:spacing w:before="12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- </w:t>
            </w:r>
            <w:r w:rsidR="0098267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982670"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Gibson, R.L.  And Mitchell, M .H. (1986). </w:t>
            </w:r>
            <w:r w:rsidR="00982670" w:rsidRPr="004063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 xml:space="preserve">Introduction to Counseling </w:t>
            </w:r>
          </w:p>
          <w:p w:rsidR="00982670" w:rsidRPr="00982670" w:rsidRDefault="0040633F" w:rsidP="00982670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0633F"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ar-JO"/>
              </w:rPr>
              <w:t xml:space="preserve">        </w:t>
            </w:r>
            <w:r w:rsidR="00982670" w:rsidRPr="004063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and</w:t>
            </w:r>
            <w:r w:rsidRPr="0040633F">
              <w:rPr>
                <w:b/>
                <w:bCs/>
                <w:i/>
                <w:iCs/>
                <w:u w:val="single"/>
              </w:rPr>
              <w:t xml:space="preserve"> </w:t>
            </w:r>
            <w:r w:rsidRPr="004063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Guidance</w:t>
            </w:r>
            <w:r w:rsidRPr="004063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. Macmillan Publishing Co, New York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</w:t>
            </w:r>
          </w:p>
          <w:p w:rsidR="00982670" w:rsidRPr="00D862D9" w:rsidRDefault="00982670" w:rsidP="0040633F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    .       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3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center"/>
              <w:rPr>
                <w:rFonts w:eastAsia="Calibri"/>
                <w:color w:val="000000"/>
                <w:sz w:val="48"/>
                <w:szCs w:val="48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center"/>
              <w:rPr>
                <w:rFonts w:eastAsia="Calibri"/>
                <w:color w:val="000000"/>
                <w:sz w:val="48"/>
                <w:szCs w:val="48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076952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111062" w:rsidRDefault="00D862D9" w:rsidP="00111062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111062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تمثيل الأساليب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111062" w:rsidRDefault="00D862D9" w:rsidP="00111062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22AE"/>
    <w:multiLevelType w:val="hybridMultilevel"/>
    <w:tmpl w:val="8E167CEC"/>
    <w:lvl w:ilvl="0" w:tplc="CCA0A3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4726D"/>
    <w:multiLevelType w:val="hybridMultilevel"/>
    <w:tmpl w:val="AF7484DA"/>
    <w:lvl w:ilvl="0" w:tplc="648CA5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126CF"/>
    <w:multiLevelType w:val="hybridMultilevel"/>
    <w:tmpl w:val="91281F64"/>
    <w:lvl w:ilvl="0" w:tplc="B21ED26C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/>
        <w:b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717F9"/>
    <w:multiLevelType w:val="hybridMultilevel"/>
    <w:tmpl w:val="03007F80"/>
    <w:lvl w:ilvl="0" w:tplc="29BC85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2448C"/>
    <w:multiLevelType w:val="hybridMultilevel"/>
    <w:tmpl w:val="969EA2B6"/>
    <w:lvl w:ilvl="0" w:tplc="331C34C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E1127"/>
    <w:multiLevelType w:val="hybridMultilevel"/>
    <w:tmpl w:val="62409D3C"/>
    <w:lvl w:ilvl="0" w:tplc="3F7E4B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E2996"/>
    <w:multiLevelType w:val="hybridMultilevel"/>
    <w:tmpl w:val="4F86197C"/>
    <w:lvl w:ilvl="0" w:tplc="FDEE5E44">
      <w:start w:val="1"/>
      <w:numFmt w:val="decimal"/>
      <w:lvlText w:val="%1."/>
      <w:lvlJc w:val="left"/>
      <w:pPr>
        <w:ind w:left="45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652184">
    <w:abstractNumId w:val="10"/>
  </w:num>
  <w:num w:numId="2" w16cid:durableId="1497301277">
    <w:abstractNumId w:val="6"/>
  </w:num>
  <w:num w:numId="3" w16cid:durableId="1996914091">
    <w:abstractNumId w:val="7"/>
  </w:num>
  <w:num w:numId="4" w16cid:durableId="1855806460">
    <w:abstractNumId w:val="12"/>
  </w:num>
  <w:num w:numId="5" w16cid:durableId="82915348">
    <w:abstractNumId w:val="2"/>
  </w:num>
  <w:num w:numId="6" w16cid:durableId="1933706506">
    <w:abstractNumId w:val="0"/>
  </w:num>
  <w:num w:numId="7" w16cid:durableId="1619288057">
    <w:abstractNumId w:val="8"/>
  </w:num>
  <w:num w:numId="8" w16cid:durableId="1126240314">
    <w:abstractNumId w:val="4"/>
  </w:num>
  <w:num w:numId="9" w16cid:durableId="248736410">
    <w:abstractNumId w:val="3"/>
  </w:num>
  <w:num w:numId="10" w16cid:durableId="1639186670">
    <w:abstractNumId w:val="11"/>
  </w:num>
  <w:num w:numId="11" w16cid:durableId="1119491741">
    <w:abstractNumId w:val="5"/>
  </w:num>
  <w:num w:numId="12" w16cid:durableId="1823816764">
    <w:abstractNumId w:val="1"/>
  </w:num>
  <w:num w:numId="13" w16cid:durableId="1542669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35AAF"/>
    <w:rsid w:val="00076952"/>
    <w:rsid w:val="00085161"/>
    <w:rsid w:val="000F234A"/>
    <w:rsid w:val="00111062"/>
    <w:rsid w:val="00153EB3"/>
    <w:rsid w:val="001E4DD6"/>
    <w:rsid w:val="001F602E"/>
    <w:rsid w:val="00213409"/>
    <w:rsid w:val="00253A63"/>
    <w:rsid w:val="00263393"/>
    <w:rsid w:val="0026349C"/>
    <w:rsid w:val="00294399"/>
    <w:rsid w:val="002E784A"/>
    <w:rsid w:val="00307882"/>
    <w:rsid w:val="003F1E12"/>
    <w:rsid w:val="00401195"/>
    <w:rsid w:val="0040633F"/>
    <w:rsid w:val="00433CE6"/>
    <w:rsid w:val="004C6A60"/>
    <w:rsid w:val="0052202F"/>
    <w:rsid w:val="00596390"/>
    <w:rsid w:val="005D5993"/>
    <w:rsid w:val="00635076"/>
    <w:rsid w:val="006A0041"/>
    <w:rsid w:val="006B2ADC"/>
    <w:rsid w:val="0075707E"/>
    <w:rsid w:val="007834BB"/>
    <w:rsid w:val="00783C58"/>
    <w:rsid w:val="007F4C9E"/>
    <w:rsid w:val="0089088C"/>
    <w:rsid w:val="008A0B5F"/>
    <w:rsid w:val="008C0140"/>
    <w:rsid w:val="008D1E50"/>
    <w:rsid w:val="00925EED"/>
    <w:rsid w:val="00982670"/>
    <w:rsid w:val="009C3226"/>
    <w:rsid w:val="009E1405"/>
    <w:rsid w:val="00A26C64"/>
    <w:rsid w:val="00A51819"/>
    <w:rsid w:val="00AA2CD7"/>
    <w:rsid w:val="00B5283F"/>
    <w:rsid w:val="00BC7E03"/>
    <w:rsid w:val="00C26319"/>
    <w:rsid w:val="00C53003"/>
    <w:rsid w:val="00C7632A"/>
    <w:rsid w:val="00D549D0"/>
    <w:rsid w:val="00D862D9"/>
    <w:rsid w:val="00DD28A7"/>
    <w:rsid w:val="00E4679C"/>
    <w:rsid w:val="00E70C46"/>
    <w:rsid w:val="00E92615"/>
    <w:rsid w:val="00EC5B20"/>
    <w:rsid w:val="00F42032"/>
    <w:rsid w:val="00F4661F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5628F4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Dr-mohamadsafa@hot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UXCFDSH4Y37E-11-678</_dlc_DocId>
    <_dlc_DocIdUrl xmlns="b417192f-9b40-4b27-a16e-6e0147391471">
      <Url>https://www.mutah.edu.jo/ar/education/_layouts/DocIdRedir.aspx?ID=UXCFDSH4Y37E-11-678</Url>
      <Description>UXCFDSH4Y37E-11-678</Description>
    </_dlc_DocIdUrl>
  </documentManagement>
</p:properties>
</file>

<file path=customXml/itemProps1.xml><?xml version="1.0" encoding="utf-8"?>
<ds:datastoreItem xmlns:ds="http://schemas.openxmlformats.org/officeDocument/2006/customXml" ds:itemID="{294AC729-E188-4B98-98E4-D3BDD621AB7A}"/>
</file>

<file path=customXml/itemProps2.xml><?xml version="1.0" encoding="utf-8"?>
<ds:datastoreItem xmlns:ds="http://schemas.openxmlformats.org/officeDocument/2006/customXml" ds:itemID="{73E88AB7-6A9A-4E10-AA6D-FC6D583B8E63}"/>
</file>

<file path=customXml/itemProps3.xml><?xml version="1.0" encoding="utf-8"?>
<ds:datastoreItem xmlns:ds="http://schemas.openxmlformats.org/officeDocument/2006/customXml" ds:itemID="{69D9870F-7A33-4523-A469-02CD895EBE79}"/>
</file>

<file path=customXml/itemProps4.xml><?xml version="1.0" encoding="utf-8"?>
<ds:datastoreItem xmlns:ds="http://schemas.openxmlformats.org/officeDocument/2006/customXml" ds:itemID="{00095D3F-3598-4B02-83E7-A9D24132D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3871</Characters>
  <Application>Microsoft Office Word</Application>
  <DocSecurity>0</DocSecurity>
  <Lines>430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2025-03-03T23:15:00Z</dcterms:created>
  <dcterms:modified xsi:type="dcterms:W3CDTF">2025-03-03T23:15:00Z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c2009e4499133baf8e1ce00abdf508c1e62b2e65ddc3b8b9854a6a75f0461add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6bcc8439-a553-4a23-ab95-4c626fb3d2cc</vt:lpwstr>
  </property>
</Properties>
</file>